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475615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500380</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jc w:val="center"/>
        <w:spacing w:after="0" w:line="217" w:lineRule="auto"/>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spacing w:after="0" w:line="220" w:lineRule="auto"/>
        <w:rPr>
          <w:sz w:val="20"/>
          <w:szCs w:val="20"/>
          <w:color w:val="auto"/>
        </w:rPr>
      </w:pPr>
      <w:r>
        <w:rPr>
          <w:rFonts w:ascii="Times New Roman" w:cs="Times New Roman" w:eastAsia="Times New Roman" w:hAnsi="Times New Roman"/>
          <w:sz w:val="21"/>
          <w:szCs w:val="21"/>
          <w:b w:val="1"/>
          <w:bCs w:val="1"/>
          <w:color w:val="auto"/>
        </w:rPr>
        <w:t>WASHINGTON, DC 20549</w:t>
      </w:r>
    </w:p>
    <w:p>
      <w:pPr>
        <w:ind w:left="382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______________________________________________________________________</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6"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______________________________________________________________________</w:t>
      </w: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40" w:lineRule="exact"/>
        <w:rPr>
          <w:sz w:val="24"/>
          <w:szCs w:val="24"/>
          <w:color w:val="auto"/>
        </w:rPr>
      </w:pPr>
    </w:p>
    <w:p>
      <w:pPr>
        <w:ind w:left="4140" w:right="2920" w:hanging="4009"/>
        <w:spacing w:after="0" w:line="376" w:lineRule="auto"/>
        <w:tabs>
          <w:tab w:leader="none" w:pos="461"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 For the quarterly period ended May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47" w:lineRule="exact"/>
        <w:rPr>
          <w:sz w:val="24"/>
          <w:szCs w:val="24"/>
          <w:color w:val="auto"/>
        </w:rPr>
      </w:pPr>
    </w:p>
    <w:p>
      <w:pPr>
        <w:ind w:left="460" w:hanging="314"/>
        <w:spacing w:after="0"/>
        <w:tabs>
          <w:tab w:leader="none" w:pos="460"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224" w:lineRule="exact"/>
        <w:rPr>
          <w:sz w:val="24"/>
          <w:szCs w:val="24"/>
          <w:color w:val="auto"/>
        </w:rPr>
      </w:pPr>
    </w:p>
    <w:p>
      <w:pPr>
        <w:ind w:left="3920"/>
        <w:spacing w:after="0"/>
        <w:tabs>
          <w:tab w:leader="none" w:pos="656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001-39398</w:t>
      </w:r>
    </w:p>
    <w:p>
      <w:pPr>
        <w:ind w:left="382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______________________________________________________________________</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NURIX THERAPEUTICS, INC.</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9" w:lineRule="exact"/>
        <w:rPr>
          <w:sz w:val="24"/>
          <w:szCs w:val="24"/>
          <w:color w:val="auto"/>
        </w:rPr>
      </w:pPr>
    </w:p>
    <w:tbl>
      <w:tblPr>
        <w:tblLayout w:type="fixed"/>
        <w:tblInd w:w="1540" w:type="dxa"/>
        <w:tblCellMar>
          <w:top w:w="0" w:type="dxa"/>
          <w:left w:w="0" w:type="dxa"/>
          <w:bottom w:w="0" w:type="dxa"/>
          <w:right w:w="0" w:type="dxa"/>
        </w:tblCellMar>
      </w:tblPr>
      <w:tr>
        <w:trPr>
          <w:trHeight w:val="204"/>
        </w:trPr>
        <w:tc>
          <w:tcPr>
            <w:tcW w:w="4420" w:type="dxa"/>
            <w:vAlign w:val="bottom"/>
          </w:tcPr>
          <w:p>
            <w:pPr>
              <w:jc w:val="center"/>
              <w:ind w:right="1803"/>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3080" w:type="dxa"/>
            <w:vAlign w:val="bottom"/>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27-0838048</w:t>
            </w:r>
          </w:p>
        </w:tc>
        <w:tc>
          <w:tcPr>
            <w:tcW w:w="0" w:type="dxa"/>
            <w:vAlign w:val="bottom"/>
          </w:tcPr>
          <w:p>
            <w:pPr>
              <w:spacing w:after="0"/>
              <w:rPr>
                <w:sz w:val="1"/>
                <w:szCs w:val="1"/>
                <w:color w:val="auto"/>
              </w:rPr>
            </w:pPr>
          </w:p>
        </w:tc>
      </w:tr>
      <w:tr>
        <w:trPr>
          <w:trHeight w:val="183"/>
        </w:trPr>
        <w:tc>
          <w:tcPr>
            <w:tcW w:w="4420" w:type="dxa"/>
            <w:vAlign w:val="bottom"/>
          </w:tcPr>
          <w:p>
            <w:pPr>
              <w:jc w:val="center"/>
              <w:ind w:right="1803"/>
              <w:spacing w:after="0"/>
              <w:rPr>
                <w:sz w:val="20"/>
                <w:szCs w:val="20"/>
                <w:color w:val="auto"/>
              </w:rPr>
            </w:pPr>
            <w:r>
              <w:rPr>
                <w:rFonts w:ascii="Times New Roman" w:cs="Times New Roman" w:eastAsia="Times New Roman" w:hAnsi="Times New Roman"/>
                <w:sz w:val="15"/>
                <w:szCs w:val="15"/>
                <w:b w:val="1"/>
                <w:bCs w:val="1"/>
                <w:color w:val="auto"/>
              </w:rPr>
              <w:t>(State or other jurisdiction of</w:t>
            </w:r>
          </w:p>
        </w:tc>
        <w:tc>
          <w:tcPr>
            <w:tcW w:w="3080" w:type="dxa"/>
            <w:vAlign w:val="bottom"/>
          </w:tcPr>
          <w:p>
            <w:pPr>
              <w:jc w:val="center"/>
              <w:ind w:left="1803"/>
              <w:spacing w:after="0"/>
              <w:rPr>
                <w:sz w:val="20"/>
                <w:szCs w:val="20"/>
                <w:color w:val="auto"/>
              </w:rPr>
            </w:pPr>
            <w:r>
              <w:rPr>
                <w:rFonts w:ascii="Times New Roman" w:cs="Times New Roman" w:eastAsia="Times New Roman" w:hAnsi="Times New Roman"/>
                <w:sz w:val="15"/>
                <w:szCs w:val="15"/>
                <w:b w:val="1"/>
                <w:bCs w:val="1"/>
                <w:color w:val="auto"/>
              </w:rPr>
              <w:t>(I.R.S. Employer</w:t>
            </w:r>
          </w:p>
        </w:tc>
        <w:tc>
          <w:tcPr>
            <w:tcW w:w="0" w:type="dxa"/>
            <w:vAlign w:val="bottom"/>
          </w:tcPr>
          <w:p>
            <w:pPr>
              <w:spacing w:after="0"/>
              <w:rPr>
                <w:sz w:val="1"/>
                <w:szCs w:val="1"/>
                <w:color w:val="auto"/>
              </w:rPr>
            </w:pPr>
          </w:p>
        </w:tc>
      </w:tr>
      <w:tr>
        <w:trPr>
          <w:trHeight w:val="204"/>
        </w:trPr>
        <w:tc>
          <w:tcPr>
            <w:tcW w:w="4420" w:type="dxa"/>
            <w:vAlign w:val="bottom"/>
          </w:tcPr>
          <w:p>
            <w:pPr>
              <w:jc w:val="center"/>
              <w:ind w:right="1803"/>
              <w:spacing w:after="0"/>
              <w:rPr>
                <w:sz w:val="20"/>
                <w:szCs w:val="20"/>
                <w:color w:val="auto"/>
              </w:rPr>
            </w:pPr>
            <w:r>
              <w:rPr>
                <w:rFonts w:ascii="Times New Roman" w:cs="Times New Roman" w:eastAsia="Times New Roman" w:hAnsi="Times New Roman"/>
                <w:sz w:val="15"/>
                <w:szCs w:val="15"/>
                <w:b w:val="1"/>
                <w:bCs w:val="1"/>
                <w:color w:val="auto"/>
              </w:rPr>
              <w:t>incorporation or organization)</w:t>
            </w:r>
          </w:p>
        </w:tc>
        <w:tc>
          <w:tcPr>
            <w:tcW w:w="3080" w:type="dxa"/>
            <w:vAlign w:val="bottom"/>
          </w:tcPr>
          <w:p>
            <w:pPr>
              <w:jc w:val="center"/>
              <w:ind w:left="1783"/>
              <w:spacing w:after="0"/>
              <w:rPr>
                <w:sz w:val="20"/>
                <w:szCs w:val="20"/>
                <w:color w:val="auto"/>
              </w:rPr>
            </w:pPr>
            <w:r>
              <w:rPr>
                <w:rFonts w:ascii="Times New Roman" w:cs="Times New Roman" w:eastAsia="Times New Roman" w:hAnsi="Times New Roman"/>
                <w:sz w:val="15"/>
                <w:szCs w:val="15"/>
                <w:b w:val="1"/>
                <w:bCs w:val="1"/>
                <w:color w:val="auto"/>
              </w:rPr>
              <w:t>Identification No.)</w:t>
            </w:r>
          </w:p>
        </w:tc>
        <w:tc>
          <w:tcPr>
            <w:tcW w:w="0" w:type="dxa"/>
            <w:vAlign w:val="bottom"/>
          </w:tcPr>
          <w:p>
            <w:pPr>
              <w:spacing w:after="0"/>
              <w:rPr>
                <w:sz w:val="1"/>
                <w:szCs w:val="1"/>
                <w:color w:val="auto"/>
              </w:rPr>
            </w:pPr>
          </w:p>
        </w:tc>
      </w:tr>
      <w:tr>
        <w:trPr>
          <w:trHeight w:val="170"/>
        </w:trPr>
        <w:tc>
          <w:tcPr>
            <w:tcW w:w="4420" w:type="dxa"/>
            <w:vAlign w:val="bottom"/>
          </w:tcPr>
          <w:p>
            <w:pPr>
              <w:jc w:val="center"/>
              <w:ind w:right="1803"/>
              <w:spacing w:after="0" w:line="170" w:lineRule="exact"/>
              <w:rPr>
                <w:sz w:val="20"/>
                <w:szCs w:val="20"/>
                <w:color w:val="auto"/>
              </w:rPr>
            </w:pPr>
            <w:r>
              <w:rPr>
                <w:rFonts w:ascii="Times New Roman" w:cs="Times New Roman" w:eastAsia="Times New Roman" w:hAnsi="Times New Roman"/>
                <w:sz w:val="15"/>
                <w:szCs w:val="15"/>
                <w:b w:val="1"/>
                <w:bCs w:val="1"/>
                <w:color w:val="auto"/>
              </w:rPr>
              <w:t>1700 Owens Street, Suite 205</w:t>
            </w:r>
          </w:p>
        </w:tc>
        <w:tc>
          <w:tcPr>
            <w:tcW w:w="3080" w:type="dxa"/>
            <w:vAlign w:val="bottom"/>
            <w:vMerge w:val="restart"/>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94158</w:t>
            </w:r>
          </w:p>
        </w:tc>
        <w:tc>
          <w:tcPr>
            <w:tcW w:w="0" w:type="dxa"/>
            <w:vAlign w:val="bottom"/>
          </w:tcPr>
          <w:p>
            <w:pPr>
              <w:spacing w:after="0"/>
              <w:rPr>
                <w:sz w:val="1"/>
                <w:szCs w:val="1"/>
                <w:color w:val="auto"/>
              </w:rPr>
            </w:pPr>
          </w:p>
        </w:tc>
      </w:tr>
      <w:tr>
        <w:trPr>
          <w:trHeight w:val="204"/>
        </w:trPr>
        <w:tc>
          <w:tcPr>
            <w:tcW w:w="4420" w:type="dxa"/>
            <w:vAlign w:val="bottom"/>
          </w:tcPr>
          <w:p>
            <w:pPr>
              <w:jc w:val="center"/>
              <w:ind w:right="1783"/>
              <w:spacing w:after="0"/>
              <w:rPr>
                <w:sz w:val="20"/>
                <w:szCs w:val="20"/>
                <w:color w:val="auto"/>
              </w:rPr>
            </w:pPr>
            <w:r>
              <w:rPr>
                <w:rFonts w:ascii="Times New Roman" w:cs="Times New Roman" w:eastAsia="Times New Roman" w:hAnsi="Times New Roman"/>
                <w:sz w:val="15"/>
                <w:szCs w:val="15"/>
                <w:b w:val="1"/>
                <w:bCs w:val="1"/>
                <w:color w:val="auto"/>
              </w:rPr>
              <w:t>San Francisco, CA</w:t>
            </w:r>
          </w:p>
        </w:tc>
        <w:tc>
          <w:tcPr>
            <w:tcW w:w="3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20" w:type="dxa"/>
            <w:vAlign w:val="bottom"/>
          </w:tcPr>
          <w:p>
            <w:pPr>
              <w:jc w:val="center"/>
              <w:ind w:right="1783"/>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tc>
        <w:tc>
          <w:tcPr>
            <w:tcW w:w="3080" w:type="dxa"/>
            <w:vAlign w:val="bottom"/>
          </w:tcPr>
          <w:p>
            <w:pPr>
              <w:jc w:val="center"/>
              <w:ind w:left="1803"/>
              <w:spacing w:after="0"/>
              <w:rPr>
                <w:sz w:val="20"/>
                <w:szCs w:val="20"/>
                <w:color w:val="auto"/>
              </w:rPr>
            </w:pPr>
            <w:r>
              <w:rPr>
                <w:rFonts w:ascii="Times New Roman" w:cs="Times New Roman" w:eastAsia="Times New Roman" w:hAnsi="Times New Roman"/>
                <w:sz w:val="15"/>
                <w:szCs w:val="15"/>
                <w:b w:val="1"/>
                <w:bCs w:val="1"/>
                <w:color w:val="auto"/>
              </w:rPr>
              <w:t>(Zip Code)</w:t>
            </w:r>
          </w:p>
        </w:tc>
        <w:tc>
          <w:tcPr>
            <w:tcW w:w="0" w:type="dxa"/>
            <w:vAlign w:val="bottom"/>
          </w:tcPr>
          <w:p>
            <w:pPr>
              <w:spacing w:after="0"/>
              <w:rPr>
                <w:sz w:val="1"/>
                <w:szCs w:val="1"/>
                <w:color w:val="auto"/>
              </w:rPr>
            </w:pPr>
          </w:p>
        </w:tc>
      </w:tr>
    </w:tbl>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(415) 660-5320</w:t>
      </w:r>
    </w:p>
    <w:p>
      <w:pPr>
        <w:spacing w:after="0" w:line="4"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Trading</w:t>
            </w:r>
          </w:p>
        </w:tc>
        <w:tc>
          <w:tcPr>
            <w:tcW w:w="4400" w:type="dxa"/>
            <w:vAlign w:val="bottom"/>
          </w:tcPr>
          <w:p>
            <w:pPr>
              <w:spacing w:after="0"/>
              <w:rPr>
                <w:sz w:val="16"/>
                <w:szCs w:val="16"/>
                <w:color w:val="auto"/>
              </w:rPr>
            </w:pPr>
          </w:p>
        </w:tc>
      </w:tr>
      <w:tr>
        <w:trPr>
          <w:trHeight w:val="215"/>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80" w:type="dxa"/>
            <w:vAlign w:val="bottom"/>
          </w:tcPr>
          <w:p>
            <w:pPr>
              <w:spacing w:after="0"/>
              <w:rPr>
                <w:sz w:val="18"/>
                <w:szCs w:val="18"/>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Symbol(s)</w:t>
            </w:r>
          </w:p>
        </w:tc>
        <w:tc>
          <w:tcPr>
            <w:tcW w:w="80" w:type="dxa"/>
            <w:vAlign w:val="bottom"/>
          </w:tcPr>
          <w:p>
            <w:pPr>
              <w:spacing w:after="0"/>
              <w:rPr>
                <w:sz w:val="18"/>
                <w:szCs w:val="18"/>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32"/>
        </w:trPr>
        <w:tc>
          <w:tcPr>
            <w:tcW w:w="44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Common Stock, par value $0.001 per share</w:t>
            </w:r>
          </w:p>
        </w:tc>
        <w:tc>
          <w:tcPr>
            <w:tcW w:w="23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NRIX</w:t>
            </w:r>
          </w:p>
        </w:tc>
        <w:tc>
          <w:tcPr>
            <w:tcW w:w="4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Nasdaq Global Market</w:t>
            </w:r>
          </w:p>
        </w:tc>
      </w:tr>
    </w:tbl>
    <w:p>
      <w:pPr>
        <w:spacing w:after="0" w:line="189" w:lineRule="exact"/>
        <w:rPr>
          <w:sz w:val="24"/>
          <w:szCs w:val="24"/>
          <w:color w:val="auto"/>
        </w:rPr>
      </w:pPr>
    </w:p>
    <w:p>
      <w:pPr>
        <w:jc w:val="both"/>
        <w:ind w:right="200"/>
        <w:spacing w:after="0" w:line="239"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61" w:lineRule="exact"/>
        <w:rPr>
          <w:sz w:val="24"/>
          <w:szCs w:val="24"/>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49" w:lineRule="exact"/>
        <w:rPr>
          <w:sz w:val="24"/>
          <w:szCs w:val="24"/>
          <w:color w:val="auto"/>
        </w:rPr>
      </w:pPr>
    </w:p>
    <w:p>
      <w:pPr>
        <w:ind w:right="80"/>
        <w:spacing w:after="0" w:line="239"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5"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960" w:type="dxa"/>
            <w:vAlign w:val="bottom"/>
          </w:tcPr>
          <w:p>
            <w:pPr>
              <w:ind w:left="1280"/>
              <w:spacing w:after="0"/>
              <w:rPr>
                <w:sz w:val="20"/>
                <w:szCs w:val="20"/>
                <w:color w:val="auto"/>
              </w:rPr>
            </w:pPr>
            <w:r>
              <w:rPr>
                <w:rFonts w:ascii="Wingdings" w:cs="Wingdings" w:eastAsia="Wingdings" w:hAnsi="Wingdings"/>
                <w:sz w:val="17"/>
                <w:szCs w:val="17"/>
                <w:b w:val="1"/>
                <w:bCs w:val="1"/>
                <w:color w:val="auto"/>
              </w:rPr>
              <w:t>o</w:t>
            </w:r>
          </w:p>
        </w:tc>
        <w:tc>
          <w:tcPr>
            <w:tcW w:w="36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Accelerated filer</w:t>
            </w:r>
          </w:p>
        </w:tc>
        <w:tc>
          <w:tcPr>
            <w:tcW w:w="1440" w:type="dxa"/>
            <w:vAlign w:val="bottom"/>
          </w:tcPr>
          <w:p>
            <w:pPr>
              <w:ind w:left="1280"/>
              <w:spacing w:after="0"/>
              <w:rPr>
                <w:sz w:val="20"/>
                <w:szCs w:val="20"/>
                <w:color w:val="auto"/>
              </w:rPr>
            </w:pPr>
            <w:r>
              <w:rPr>
                <w:rFonts w:ascii="Wingdings" w:cs="Wingdings" w:eastAsia="Wingdings" w:hAnsi="Wingdings"/>
                <w:sz w:val="17"/>
                <w:szCs w:val="17"/>
                <w:b w:val="1"/>
                <w:bCs w:val="1"/>
                <w:color w:val="auto"/>
                <w:w w:val="92"/>
              </w:rPr>
              <w:t>o</w:t>
            </w:r>
          </w:p>
        </w:tc>
      </w:tr>
      <w:tr>
        <w:trPr>
          <w:trHeight w:val="258"/>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960" w:type="dxa"/>
            <w:vAlign w:val="bottom"/>
          </w:tcPr>
          <w:p>
            <w:pPr>
              <w:ind w:left="1260"/>
              <w:spacing w:after="0"/>
              <w:rPr>
                <w:sz w:val="20"/>
                <w:szCs w:val="20"/>
                <w:color w:val="auto"/>
              </w:rPr>
            </w:pPr>
            <w:r>
              <w:rPr>
                <w:rFonts w:ascii="Wingdings" w:cs="Wingdings" w:eastAsia="Wingdings" w:hAnsi="Wingdings"/>
                <w:sz w:val="17"/>
                <w:szCs w:val="17"/>
                <w:b w:val="1"/>
                <w:bCs w:val="1"/>
                <w:color w:val="auto"/>
              </w:rPr>
              <w:t>x</w:t>
            </w:r>
          </w:p>
        </w:tc>
        <w:tc>
          <w:tcPr>
            <w:tcW w:w="36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440" w:type="dxa"/>
            <w:vAlign w:val="bottom"/>
          </w:tcPr>
          <w:p>
            <w:pPr>
              <w:ind w:left="1260"/>
              <w:spacing w:after="0"/>
              <w:rPr>
                <w:sz w:val="20"/>
                <w:szCs w:val="20"/>
                <w:color w:val="auto"/>
              </w:rPr>
            </w:pPr>
            <w:r>
              <w:rPr>
                <w:rFonts w:ascii="Wingdings" w:cs="Wingdings" w:eastAsia="Wingdings" w:hAnsi="Wingdings"/>
                <w:sz w:val="17"/>
                <w:szCs w:val="17"/>
                <w:b w:val="1"/>
                <w:bCs w:val="1"/>
                <w:color w:val="auto"/>
                <w:w w:val="88"/>
              </w:rPr>
              <w:t>x</w:t>
            </w:r>
          </w:p>
        </w:tc>
      </w:tr>
      <w:tr>
        <w:trPr>
          <w:trHeight w:val="258"/>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Emerging growth company</w:t>
            </w:r>
          </w:p>
        </w:tc>
        <w:tc>
          <w:tcPr>
            <w:tcW w:w="1960" w:type="dxa"/>
            <w:vAlign w:val="bottom"/>
          </w:tcPr>
          <w:p>
            <w:pPr>
              <w:ind w:left="1280"/>
              <w:spacing w:after="0"/>
              <w:rPr>
                <w:sz w:val="20"/>
                <w:szCs w:val="20"/>
                <w:color w:val="auto"/>
              </w:rPr>
            </w:pPr>
            <w:r>
              <w:rPr>
                <w:rFonts w:ascii="Wingdings" w:cs="Wingdings" w:eastAsia="Wingdings" w:hAnsi="Wingdings"/>
                <w:sz w:val="17"/>
                <w:szCs w:val="17"/>
                <w:b w:val="1"/>
                <w:bCs w:val="1"/>
                <w:color w:val="auto"/>
              </w:rPr>
              <w:t>o</w:t>
            </w:r>
          </w:p>
        </w:tc>
        <w:tc>
          <w:tcPr>
            <w:tcW w:w="3660" w:type="dxa"/>
            <w:vAlign w:val="bottom"/>
          </w:tcPr>
          <w:p>
            <w:pPr>
              <w:spacing w:after="0"/>
              <w:rPr>
                <w:sz w:val="22"/>
                <w:szCs w:val="22"/>
                <w:color w:val="auto"/>
              </w:rPr>
            </w:pPr>
          </w:p>
        </w:tc>
        <w:tc>
          <w:tcPr>
            <w:tcW w:w="1440" w:type="dxa"/>
            <w:vAlign w:val="bottom"/>
          </w:tcPr>
          <w:p>
            <w:pPr>
              <w:spacing w:after="0"/>
              <w:rPr>
                <w:sz w:val="22"/>
                <w:szCs w:val="22"/>
                <w:color w:val="auto"/>
              </w:rPr>
            </w:pPr>
          </w:p>
        </w:tc>
      </w:tr>
    </w:tbl>
    <w:p>
      <w:pPr>
        <w:spacing w:after="0" w:line="189" w:lineRule="exact"/>
        <w:rPr>
          <w:sz w:val="24"/>
          <w:szCs w:val="24"/>
          <w:color w:val="auto"/>
        </w:rPr>
      </w:pPr>
    </w:p>
    <w:p>
      <w:pPr>
        <w:ind w:right="420"/>
        <w:spacing w:after="0" w:line="255"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49" w:lineRule="exact"/>
        <w:rPr>
          <w:sz w:val="24"/>
          <w:szCs w:val="24"/>
          <w:color w:val="auto"/>
        </w:rPr>
      </w:pPr>
    </w:p>
    <w:p>
      <w:pPr>
        <w:ind w:right="2400"/>
        <w:spacing w:after="0" w:line="382"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As of July 1, 2024, the Registrant had 64,411,870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641985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16510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41275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18"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56" w:lineRule="exact"/>
        <w:rPr>
          <w:sz w:val="20"/>
          <w:szCs w:val="20"/>
          <w:color w:val="auto"/>
        </w:rPr>
      </w:pPr>
    </w:p>
    <w:p>
      <w:pPr>
        <w:ind w:right="40" w:firstLine="619"/>
        <w:spacing w:after="0" w:line="262" w:lineRule="auto"/>
        <w:rPr>
          <w:sz w:val="20"/>
          <w:szCs w:val="20"/>
          <w:color w:val="auto"/>
        </w:rPr>
      </w:pPr>
      <w:r>
        <w:rPr>
          <w:rFonts w:ascii="Times New Roman" w:cs="Times New Roman" w:eastAsia="Times New Roman" w:hAnsi="Times New Roman"/>
          <w:sz w:val="17"/>
          <w:szCs w:val="17"/>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56" w:lineRule="exact"/>
        <w:rPr>
          <w:sz w:val="20"/>
          <w:szCs w:val="20"/>
          <w:color w:val="auto"/>
        </w:rPr>
      </w:pPr>
    </w:p>
    <w:p>
      <w:pPr>
        <w:ind w:left="940" w:right="180" w:hanging="318"/>
        <w:spacing w:after="0" w:line="262"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conduct of our clinical trial programs for our lead drug candidates NX-5948, NX-2127 and NX-1607 and other drug candidates, including statements regarding the timing of data and anticipated announcements, the selection of new development candidates and the initiation of clinical trials;</w:t>
      </w:r>
    </w:p>
    <w:p>
      <w:pPr>
        <w:spacing w:after="0" w:line="55" w:lineRule="exact"/>
        <w:rPr>
          <w:rFonts w:ascii="Times New Roman" w:cs="Times New Roman" w:eastAsia="Times New Roman" w:hAnsi="Times New Roman"/>
          <w:sz w:val="17"/>
          <w:szCs w:val="17"/>
          <w:color w:val="auto"/>
        </w:rPr>
      </w:pPr>
    </w:p>
    <w:p>
      <w:pPr>
        <w:ind w:left="940" w:right="760" w:hanging="318"/>
        <w:spacing w:after="0" w:line="271"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and our ability to obtain, marketing approvals for our lead drug candidates NX-5948, NX-2127 and NX-1607 and other drug candidates;</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to pursue research and development of other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investigational new drug application (IND) submissions for our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advantages of our DELigase platform, our drug candidates and Degrader-Antibody Conjugates (DACs);</w:t>
      </w:r>
    </w:p>
    <w:p>
      <w:pPr>
        <w:spacing w:after="0" w:line="113" w:lineRule="exact"/>
        <w:rPr>
          <w:rFonts w:ascii="Times New Roman" w:cs="Times New Roman" w:eastAsia="Times New Roman" w:hAnsi="Times New Roman"/>
          <w:sz w:val="17"/>
          <w:szCs w:val="17"/>
          <w:color w:val="auto"/>
        </w:rPr>
      </w:pPr>
    </w:p>
    <w:p>
      <w:pPr>
        <w:ind w:left="940" w:right="440" w:hanging="318"/>
        <w:spacing w:after="0" w:line="271"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our scientific approach, our DELigase platform, protein degradation, antibody-drug conjugation, and DACs may potentially address a broad range of diseases;</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benefits of our arrangements with Gilead Sciences, Inc., Sanofi S.A. and Seagen Inc. (now a part of Pfizer Inc.);</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and our ability to obtain and maintain regulatory approvals for our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receipt of revenue from future sales of our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and degree of market acceptance and clinical utility of our drug candidates;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regarding the potential market opportunity for our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sales, marketing and distribution capabilities and strategy;</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and maintain arrangements for the manufacturing of our drug candidates;</w:t>
      </w:r>
    </w:p>
    <w:p>
      <w:pPr>
        <w:spacing w:after="0" w:line="113" w:lineRule="exact"/>
        <w:rPr>
          <w:rFonts w:ascii="Times New Roman" w:cs="Times New Roman" w:eastAsia="Times New Roman" w:hAnsi="Times New Roman"/>
          <w:sz w:val="17"/>
          <w:szCs w:val="17"/>
          <w:color w:val="auto"/>
        </w:rPr>
      </w:pPr>
    </w:p>
    <w:p>
      <w:pPr>
        <w:ind w:left="940" w:right="120" w:hanging="318"/>
        <w:spacing w:after="0" w:line="254"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impact of global business, political and macroeconomic conditions, including inflation, increasing interest rates and volatile market conditions, uncertainty with respect to the federal budget and debt ceiling and potential government shutdowns related thereto, cybersecurity events, instability in the global banking system, and global events, including regional conflicts around the world, on our business, clinical trials, financial condition, liquidity and results of operations;</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achievement of milestones and receipt of royalty payments under our collaborations;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enter into additional collaborations with third parties;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intellectual property position;</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regarding expenses, future revenues, capital requirements and needs for additional financing;</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government laws and regulations; and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competitive position.</w:t>
      </w:r>
    </w:p>
    <w:p>
      <w:pPr>
        <w:spacing w:after="0" w:line="101"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17"/>
          <w:szCs w:val="17"/>
          <w:color w:val="auto"/>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535305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118" w:lineRule="exact"/>
        <w:rPr>
          <w:sz w:val="20"/>
          <w:szCs w:val="20"/>
          <w:color w:val="auto"/>
        </w:rPr>
      </w:pPr>
    </w:p>
    <w:p>
      <w:pPr>
        <w:ind w:right="360" w:firstLine="619"/>
        <w:spacing w:after="0" w:line="271" w:lineRule="auto"/>
        <w:rPr>
          <w:sz w:val="20"/>
          <w:szCs w:val="20"/>
          <w:color w:val="auto"/>
        </w:rPr>
      </w:pPr>
      <w:r>
        <w:rPr>
          <w:rFonts w:ascii="Times New Roman" w:cs="Times New Roman" w:eastAsia="Times New Roman" w:hAnsi="Times New Roman"/>
          <w:sz w:val="17"/>
          <w:szCs w:val="17"/>
          <w:color w:val="auto"/>
        </w:rPr>
        <w:t>Our business is subject to a number of risks and uncertainties, including those risks discussed at-length below. These risks include, among others, the following:</w:t>
      </w:r>
    </w:p>
    <w:p>
      <w:pPr>
        <w:spacing w:after="0" w:line="61" w:lineRule="exact"/>
        <w:rPr>
          <w:sz w:val="20"/>
          <w:szCs w:val="20"/>
          <w:color w:val="auto"/>
        </w:rPr>
      </w:pPr>
    </w:p>
    <w:p>
      <w:pPr>
        <w:ind w:left="940" w:right="500" w:hanging="318"/>
        <w:spacing w:after="0" w:line="271"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losses since our inception. We expect to incur losses over at least the next several years and may never achieve or maintain profitability.</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never generated revenue from product sales and may never be profitable.</w:t>
      </w:r>
    </w:p>
    <w:p>
      <w:pPr>
        <w:spacing w:after="0" w:line="113" w:lineRule="exact"/>
        <w:rPr>
          <w:rFonts w:ascii="Times New Roman" w:cs="Times New Roman" w:eastAsia="Times New Roman" w:hAnsi="Times New Roman"/>
          <w:sz w:val="17"/>
          <w:szCs w:val="17"/>
          <w:color w:val="auto"/>
        </w:rPr>
      </w:pPr>
    </w:p>
    <w:p>
      <w:pPr>
        <w:ind w:left="940" w:hanging="318"/>
        <w:spacing w:after="0" w:line="271"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48" w:lineRule="exact"/>
        <w:rPr>
          <w:rFonts w:ascii="Times New Roman" w:cs="Times New Roman" w:eastAsia="Times New Roman" w:hAnsi="Times New Roman"/>
          <w:sz w:val="17"/>
          <w:szCs w:val="17"/>
          <w:color w:val="auto"/>
        </w:rPr>
      </w:pPr>
    </w:p>
    <w:p>
      <w:pPr>
        <w:ind w:left="940" w:right="180" w:hanging="318"/>
        <w:spacing w:after="0" w:line="287"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and future legislation may increase the difficulty and cost for us, and any collaborators, to obtain marketing approval of and commercialize our drug candidates and affect the prices we, or they, may obtain.</w:t>
      </w:r>
    </w:p>
    <w:p>
      <w:pPr>
        <w:spacing w:after="0" w:line="35" w:lineRule="exact"/>
        <w:rPr>
          <w:rFonts w:ascii="Times New Roman" w:cs="Times New Roman" w:eastAsia="Times New Roman" w:hAnsi="Times New Roman"/>
          <w:sz w:val="17"/>
          <w:szCs w:val="17"/>
          <w:color w:val="auto"/>
        </w:rPr>
      </w:pPr>
    </w:p>
    <w:p>
      <w:pPr>
        <w:ind w:left="940" w:right="40" w:hanging="318"/>
        <w:spacing w:after="0" w:line="262"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early in our development efforts. Our lead drug candidates, NX-5948, NX-2127 and NX-1607, are in the early stages of clinical development. If we are unable to advance our drug candidates through clinical development, develop, obtain regulatory approval for and commercialize our drug candidates or experience significant delays in doing so, our business may be materially harmed.</w:t>
      </w:r>
    </w:p>
    <w:p>
      <w:pPr>
        <w:spacing w:after="0" w:line="5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limited operating history may make it difficult to evaluate the success of our business to date and to assess our future viability.</w:t>
      </w:r>
    </w:p>
    <w:p>
      <w:pPr>
        <w:spacing w:after="0" w:line="101" w:lineRule="exact"/>
        <w:rPr>
          <w:rFonts w:ascii="Times New Roman" w:cs="Times New Roman" w:eastAsia="Times New Roman" w:hAnsi="Times New Roman"/>
          <w:sz w:val="17"/>
          <w:szCs w:val="17"/>
          <w:color w:val="auto"/>
        </w:rPr>
      </w:pPr>
    </w:p>
    <w:p>
      <w:pPr>
        <w:ind w:left="940" w:right="80" w:hanging="318"/>
        <w:spacing w:after="0" w:line="287"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35" w:lineRule="exact"/>
        <w:rPr>
          <w:rFonts w:ascii="Times New Roman" w:cs="Times New Roman" w:eastAsia="Times New Roman" w:hAnsi="Times New Roman"/>
          <w:sz w:val="17"/>
          <w:szCs w:val="17"/>
          <w:color w:val="auto"/>
        </w:rPr>
      </w:pPr>
    </w:p>
    <w:p>
      <w:pPr>
        <w:ind w:left="940" w:right="420" w:hanging="318"/>
        <w:spacing w:after="0" w:line="271"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preclinical studies and early-stage clinical trials may not be predictive of future results. Initial success in clinical trials may not be indicative of results obtained when these trials are completed or in later-stage trials.</w:t>
      </w:r>
    </w:p>
    <w:p>
      <w:pPr>
        <w:spacing w:after="0" w:line="61" w:lineRule="exact"/>
        <w:rPr>
          <w:rFonts w:ascii="Times New Roman" w:cs="Times New Roman" w:eastAsia="Times New Roman" w:hAnsi="Times New Roman"/>
          <w:sz w:val="17"/>
          <w:szCs w:val="17"/>
          <w:color w:val="auto"/>
        </w:rPr>
      </w:pPr>
    </w:p>
    <w:p>
      <w:pPr>
        <w:ind w:left="940" w:right="400" w:hanging="318"/>
        <w:spacing w:after="0" w:line="254"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decide to seek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spacing w:after="0" w:line="75" w:lineRule="exact"/>
        <w:rPr>
          <w:rFonts w:ascii="Times New Roman" w:cs="Times New Roman" w:eastAsia="Times New Roman" w:hAnsi="Times New Roman"/>
          <w:sz w:val="17"/>
          <w:szCs w:val="17"/>
          <w:color w:val="auto"/>
        </w:rPr>
      </w:pPr>
    </w:p>
    <w:p>
      <w:pPr>
        <w:ind w:left="940" w:right="120" w:hanging="318"/>
        <w:spacing w:after="0" w:line="254"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w:t>
      </w:r>
    </w:p>
    <w:p>
      <w:pPr>
        <w:spacing w:after="0" w:line="75" w:lineRule="exact"/>
        <w:rPr>
          <w:rFonts w:ascii="Times New Roman" w:cs="Times New Roman" w:eastAsia="Times New Roman" w:hAnsi="Times New Roman"/>
          <w:sz w:val="17"/>
          <w:szCs w:val="17"/>
          <w:color w:val="auto"/>
        </w:rPr>
      </w:pPr>
    </w:p>
    <w:p>
      <w:pPr>
        <w:ind w:left="940" w:right="960" w:hanging="318"/>
        <w:spacing w:after="0" w:line="271"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substantial competition in an environment of rapid technological change, which may result in others discovering, developing or commercializing products before or more successfully than we do.</w:t>
      </w:r>
    </w:p>
    <w:p>
      <w:pPr>
        <w:spacing w:after="0" w:line="48" w:lineRule="exact"/>
        <w:rPr>
          <w:rFonts w:ascii="Times New Roman" w:cs="Times New Roman" w:eastAsia="Times New Roman" w:hAnsi="Times New Roman"/>
          <w:sz w:val="17"/>
          <w:szCs w:val="17"/>
          <w:color w:val="auto"/>
        </w:rPr>
      </w:pPr>
    </w:p>
    <w:p>
      <w:pPr>
        <w:ind w:left="940" w:right="240" w:hanging="318"/>
        <w:spacing w:after="0" w:line="287"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35" w:lineRule="exact"/>
        <w:rPr>
          <w:rFonts w:ascii="Times New Roman" w:cs="Times New Roman" w:eastAsia="Times New Roman" w:hAnsi="Times New Roman"/>
          <w:sz w:val="17"/>
          <w:szCs w:val="17"/>
          <w:color w:val="auto"/>
        </w:rPr>
      </w:pPr>
    </w:p>
    <w:p>
      <w:pPr>
        <w:ind w:left="940" w:right="80" w:hanging="318"/>
        <w:spacing w:after="0" w:line="254"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61" w:lineRule="exact"/>
        <w:rPr>
          <w:rFonts w:ascii="Times New Roman" w:cs="Times New Roman" w:eastAsia="Times New Roman" w:hAnsi="Times New Roman"/>
          <w:sz w:val="17"/>
          <w:szCs w:val="17"/>
          <w:color w:val="auto"/>
        </w:rPr>
      </w:pPr>
    </w:p>
    <w:p>
      <w:pPr>
        <w:ind w:left="940" w:right="80" w:hanging="318"/>
        <w:spacing w:after="0" w:line="254"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spacing w:after="0" w:line="61" w:lineRule="exact"/>
        <w:rPr>
          <w:rFonts w:ascii="Times New Roman" w:cs="Times New Roman" w:eastAsia="Times New Roman" w:hAnsi="Times New Roman"/>
          <w:sz w:val="17"/>
          <w:szCs w:val="17"/>
          <w:color w:val="auto"/>
        </w:rPr>
      </w:pPr>
    </w:p>
    <w:p>
      <w:pPr>
        <w:ind w:left="940" w:right="280" w:hanging="318"/>
        <w:spacing w:after="0" w:line="262"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identify relevant third-party patents or may incorrectly interpret the relevance, scope or expiration of a third-party patent, and 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524510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20" w:hanging="298"/>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global economic conditions could adversely affect our business, financial condition, stock price and results of operations.</w:t>
      </w:r>
    </w:p>
    <w:p>
      <w:pPr>
        <w:spacing w:after="0" w:line="101"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35" w:lineRule="exact"/>
        <w:rPr>
          <w:rFonts w:ascii="Times New Roman" w:cs="Times New Roman" w:eastAsia="Times New Roman" w:hAnsi="Times New Roman"/>
          <w:sz w:val="17"/>
          <w:szCs w:val="17"/>
          <w:color w:val="auto"/>
        </w:rPr>
      </w:pPr>
    </w:p>
    <w:p>
      <w:pPr>
        <w:ind w:left="940" w:right="120" w:hanging="318"/>
        <w:spacing w:after="0" w:line="271" w:lineRule="auto"/>
        <w:tabs>
          <w:tab w:leader="none" w:pos="9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if we are able to commercialize any drug candidates, the products may become subject to unfavorable pricing regulations, third-party reimbursement practices or healthcare reform initiatives, or fail to secure a positive health technology assessment, which would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527685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
        </w:trPr>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8820" w:type="dxa"/>
            <w:vAlign w:val="bottom"/>
            <w:gridSpan w:val="19"/>
            <w:vMerge w:val="restart"/>
          </w:tcPr>
          <w:p>
            <w:pPr>
              <w:spacing w:after="0"/>
              <w:rPr>
                <w:sz w:val="20"/>
                <w:szCs w:val="20"/>
                <w:color w:val="auto"/>
              </w:rPr>
            </w:pPr>
            <w:r>
              <w:rPr>
                <w:rFonts w:ascii="Times New Roman" w:cs="Times New Roman" w:eastAsia="Times New Roman" w:hAnsi="Times New Roman"/>
                <w:sz w:val="17"/>
                <w:szCs w:val="17"/>
                <w:color w:val="0000FF"/>
              </w:rPr>
              <w:t>FINANCIAL INFORMATION</w:t>
            </w: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520" w:type="dxa"/>
            <w:vAlign w:val="bottom"/>
            <w:gridSpan w:val="3"/>
            <w:vMerge w:val="continue"/>
          </w:tcPr>
          <w:p>
            <w:pPr>
              <w:spacing w:after="0"/>
              <w:rPr>
                <w:sz w:val="15"/>
                <w:szCs w:val="15"/>
                <w:color w:val="auto"/>
              </w:rPr>
            </w:pPr>
          </w:p>
        </w:tc>
        <w:tc>
          <w:tcPr>
            <w:tcW w:w="8820" w:type="dxa"/>
            <w:vAlign w:val="bottom"/>
            <w:gridSpan w:val="19"/>
            <w:vMerge w:val="continue"/>
          </w:tcPr>
          <w:p>
            <w:pPr>
              <w:spacing w:after="0"/>
              <w:rPr>
                <w:sz w:val="15"/>
                <w:szCs w:val="15"/>
                <w:color w:val="auto"/>
              </w:rPr>
            </w:pPr>
          </w:p>
        </w:tc>
        <w:tc>
          <w:tcPr>
            <w:tcW w:w="900" w:type="dxa"/>
            <w:vAlign w:val="bottom"/>
          </w:tcPr>
          <w:p>
            <w:pPr>
              <w:jc w:val="right"/>
              <w:spacing w:after="0" w:line="161" w:lineRule="exact"/>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1.</w:t>
            </w:r>
          </w:p>
        </w:tc>
        <w:tc>
          <w:tcPr>
            <w:tcW w:w="8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Financial Statements (Unaudited)</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Condensed Consolidated Balance Sheets</w:t>
            </w:r>
          </w:p>
        </w:tc>
        <w:tc>
          <w:tcPr>
            <w:tcW w:w="6020" w:type="dxa"/>
            <w:vAlign w:val="bottom"/>
            <w:gridSpan w:val="8"/>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w:t>
            </w:r>
          </w:p>
        </w:tc>
        <w:tc>
          <w:tcPr>
            <w:tcW w:w="4620" w:type="dxa"/>
            <w:vAlign w:val="bottom"/>
            <w:gridSpan w:val="2"/>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8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3.</w:t>
            </w:r>
          </w:p>
        </w:tc>
        <w:tc>
          <w:tcPr>
            <w:tcW w:w="41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1980" w:type="dxa"/>
            <w:vAlign w:val="bottom"/>
            <w:tcBorders>
              <w:top w:val="single" w:sz="8" w:color="0000FF"/>
            </w:tcBorders>
            <w:gridSpan w:val="2"/>
          </w:tcPr>
          <w:p>
            <w:pPr>
              <w:spacing w:after="0"/>
              <w:rPr>
                <w:sz w:val="19"/>
                <w:szCs w:val="19"/>
                <w:color w:val="auto"/>
              </w:rPr>
            </w:pPr>
          </w:p>
        </w:tc>
        <w:tc>
          <w:tcPr>
            <w:tcW w:w="2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4.</w:t>
            </w:r>
          </w:p>
        </w:tc>
        <w:tc>
          <w:tcPr>
            <w:tcW w:w="1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7120" w:type="dxa"/>
            <w:vAlign w:val="bottom"/>
            <w:gridSpan w:val="13"/>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328"/>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1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w w:val="98"/>
              </w:rPr>
              <w:t>OTHER INFORMATION</w:t>
            </w:r>
          </w:p>
        </w:tc>
        <w:tc>
          <w:tcPr>
            <w:tcW w:w="702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328"/>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1.</w:t>
            </w:r>
          </w:p>
        </w:tc>
        <w:tc>
          <w:tcPr>
            <w:tcW w:w="12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9"/>
              </w:rPr>
              <w:t>Legal Proceedings</w:t>
            </w:r>
          </w:p>
        </w:tc>
        <w:tc>
          <w:tcPr>
            <w:tcW w:w="754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1A.</w:t>
            </w: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Risk Factors</w:t>
            </w:r>
          </w:p>
        </w:tc>
        <w:tc>
          <w:tcPr>
            <w:tcW w:w="7960" w:type="dxa"/>
            <w:vAlign w:val="bottom"/>
            <w:gridSpan w:val="17"/>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8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3.</w:t>
            </w:r>
          </w:p>
        </w:tc>
        <w:tc>
          <w:tcPr>
            <w:tcW w:w="22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1920" w:type="dxa"/>
            <w:vAlign w:val="bottom"/>
            <w:tcBorders>
              <w:top w:val="single" w:sz="8" w:color="0000FF"/>
            </w:tcBorders>
            <w:gridSpan w:val="6"/>
          </w:tcPr>
          <w:p>
            <w:pPr>
              <w:spacing w:after="0"/>
              <w:rPr>
                <w:sz w:val="19"/>
                <w:szCs w:val="19"/>
                <w:color w:val="auto"/>
              </w:rPr>
            </w:pPr>
          </w:p>
        </w:tc>
        <w:tc>
          <w:tcPr>
            <w:tcW w:w="4680" w:type="dxa"/>
            <w:vAlign w:val="bottom"/>
            <w:gridSpan w:val="4"/>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4.</w:t>
            </w:r>
          </w:p>
        </w:tc>
        <w:tc>
          <w:tcPr>
            <w:tcW w:w="8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5.</w:t>
            </w:r>
          </w:p>
        </w:tc>
        <w:tc>
          <w:tcPr>
            <w:tcW w:w="12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9"/>
              </w:rPr>
              <w:t>Other Information</w:t>
            </w:r>
          </w:p>
        </w:tc>
        <w:tc>
          <w:tcPr>
            <w:tcW w:w="420" w:type="dxa"/>
            <w:vAlign w:val="bottom"/>
            <w:tcBorders>
              <w:top w:val="single" w:sz="8" w:color="0000FF"/>
            </w:tcBorders>
            <w:gridSpan w:val="2"/>
          </w:tcPr>
          <w:p>
            <w:pPr>
              <w:spacing w:after="0"/>
              <w:rPr>
                <w:sz w:val="19"/>
                <w:szCs w:val="19"/>
                <w:color w:val="auto"/>
              </w:rPr>
            </w:pPr>
          </w:p>
        </w:tc>
        <w:tc>
          <w:tcPr>
            <w:tcW w:w="7140" w:type="dxa"/>
            <w:vAlign w:val="bottom"/>
            <w:gridSpan w:val="14"/>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6.</w:t>
            </w:r>
          </w:p>
        </w:tc>
        <w:tc>
          <w:tcPr>
            <w:tcW w:w="8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Exhibits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328"/>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SIGNATURES</w:t>
            </w:r>
          </w:p>
        </w:tc>
        <w:tc>
          <w:tcPr>
            <w:tcW w:w="5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1004"/>
        </w:trPr>
        <w:tc>
          <w:tcPr>
            <w:tcW w:w="20" w:type="dxa"/>
            <w:vAlign w:val="bottom"/>
            <w:tcBorders>
              <w:bottom w:val="single" w:sz="8" w:color="9A9A9A"/>
            </w:tcBorders>
          </w:tcPr>
          <w:p>
            <w:pPr>
              <w:spacing w:after="0"/>
              <w:rPr>
                <w:sz w:val="24"/>
                <w:szCs w:val="24"/>
                <w:color w:val="auto"/>
              </w:rPr>
            </w:pPr>
          </w:p>
        </w:tc>
        <w:tc>
          <w:tcPr>
            <w:tcW w:w="106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NURIX THERAPEUTICS,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7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260" w:type="dxa"/>
            <w:vAlign w:val="bottom"/>
          </w:tcPr>
          <w:p>
            <w:pPr>
              <w:spacing w:after="0"/>
              <w:rPr>
                <w:sz w:val="14"/>
                <w:szCs w:val="14"/>
                <w:color w:val="auto"/>
              </w:rPr>
            </w:pPr>
          </w:p>
        </w:tc>
        <w:tc>
          <w:tcPr>
            <w:tcW w:w="13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November 30,</w:t>
            </w:r>
          </w:p>
        </w:tc>
      </w:tr>
      <w:tr>
        <w:trPr>
          <w:trHeight w:val="182"/>
        </w:trPr>
        <w:tc>
          <w:tcPr>
            <w:tcW w:w="7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79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1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Current assets: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116,790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54,627</w:t>
            </w:r>
          </w:p>
        </w:tc>
      </w:tr>
      <w:tr>
        <w:trPr>
          <w:trHeight w:val="232"/>
        </w:trPr>
        <w:tc>
          <w:tcPr>
            <w:tcW w:w="7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Marketable securities, current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326,349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233,281</w:t>
            </w:r>
          </w:p>
        </w:tc>
      </w:tr>
      <w:tr>
        <w:trPr>
          <w:trHeight w:val="25"/>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7,595</w:t>
            </w:r>
          </w:p>
        </w:tc>
      </w:tr>
      <w:tr>
        <w:trPr>
          <w:trHeight w:val="225"/>
        </w:trPr>
        <w:tc>
          <w:tcPr>
            <w:tcW w:w="79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current assets</w:t>
            </w: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450,217</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295,503</w:t>
            </w:r>
          </w:p>
        </w:tc>
      </w:tr>
      <w:tr>
        <w:trPr>
          <w:trHeight w:val="25"/>
        </w:trPr>
        <w:tc>
          <w:tcPr>
            <w:tcW w:w="7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1"/>
        </w:trPr>
        <w:tc>
          <w:tcPr>
            <w:tcW w:w="796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7"/>
                <w:szCs w:val="17"/>
                <w:color w:val="auto"/>
              </w:rPr>
              <w:t>Marketable securities,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current</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7,421</w:t>
            </w: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28,835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31,142</w:t>
            </w:r>
          </w:p>
        </w:tc>
      </w:tr>
      <w:tr>
        <w:trPr>
          <w:trHeight w:val="25"/>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18,557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16,808</w:t>
            </w: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Restricted cash</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w:t>
            </w:r>
          </w:p>
        </w:tc>
      </w:tr>
      <w:tr>
        <w:trPr>
          <w:trHeight w:val="25"/>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assets</w:t>
            </w: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3,141</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3,823</w:t>
            </w:r>
          </w:p>
        </w:tc>
      </w:tr>
      <w:tr>
        <w:trPr>
          <w:trHeight w:val="251"/>
        </w:trPr>
        <w:tc>
          <w:tcPr>
            <w:tcW w:w="7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511,031</w:t>
            </w: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355,598</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w:t>
            </w:r>
            <w:r>
              <w:rPr>
                <w:rFonts w:ascii="Arial" w:cs="Arial" w:eastAsia="Arial" w:hAnsi="Arial"/>
                <w:sz w:val="17"/>
                <w:szCs w:val="17"/>
                <w:color w:val="auto"/>
                <w:highlight w:val="black"/>
              </w:rPr>
              <w:t>ʼ</w:t>
            </w:r>
            <w:r>
              <w:rPr>
                <w:rFonts w:ascii="Times New Roman" w:cs="Times New Roman" w:eastAsia="Times New Roman" w:hAnsi="Times New Roman"/>
                <w:sz w:val="17"/>
                <w:szCs w:val="17"/>
                <w:b w:val="1"/>
                <w:bCs w:val="1"/>
                <w:color w:val="auto"/>
              </w:rPr>
              <w:t xml:space="preserve"> equity</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Current liabilities: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6,401</w:t>
            </w:r>
          </w:p>
        </w:tc>
      </w:tr>
      <w:tr>
        <w:trPr>
          <w:trHeight w:val="232"/>
        </w:trPr>
        <w:tc>
          <w:tcPr>
            <w:tcW w:w="7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23,263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24,970</w:t>
            </w:r>
          </w:p>
        </w:tc>
      </w:tr>
      <w:tr>
        <w:trPr>
          <w:trHeight w:val="25"/>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7,489</w:t>
            </w:r>
          </w:p>
        </w:tc>
      </w:tr>
      <w:tr>
        <w:trPr>
          <w:trHeight w:val="232"/>
        </w:trPr>
        <w:tc>
          <w:tcPr>
            <w:tcW w:w="7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Deferred revenue, current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46,769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48,098</w:t>
            </w:r>
          </w:p>
        </w:tc>
      </w:tr>
      <w:tr>
        <w:trPr>
          <w:trHeight w:val="25"/>
        </w:trPr>
        <w:tc>
          <w:tcPr>
            <w:tcW w:w="7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1"/>
        </w:trPr>
        <w:tc>
          <w:tcPr>
            <w:tcW w:w="79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80,779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86,958</w:t>
            </w:r>
          </w:p>
        </w:tc>
      </w:tr>
      <w:tr>
        <w:trPr>
          <w:trHeight w:val="225"/>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20,885</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23,125</w:t>
            </w:r>
          </w:p>
        </w:tc>
      </w:tr>
      <w:tr>
        <w:trPr>
          <w:trHeight w:val="25"/>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 revenue, net of current portion</w:t>
            </w: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38,674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45,022</w:t>
            </w:r>
          </w:p>
        </w:tc>
      </w:tr>
      <w:tr>
        <w:trPr>
          <w:trHeight w:val="225"/>
        </w:trPr>
        <w:tc>
          <w:tcPr>
            <w:tcW w:w="7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140,338</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155,105</w:t>
            </w:r>
          </w:p>
        </w:tc>
      </w:tr>
      <w:tr>
        <w:trPr>
          <w:trHeight w:val="25"/>
        </w:trPr>
        <w:tc>
          <w:tcPr>
            <w:tcW w:w="7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3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58"/>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Stockholders</w:t>
            </w:r>
            <w:r>
              <w:rPr>
                <w:rFonts w:ascii="Arial" w:cs="Arial" w:eastAsia="Arial" w:hAnsi="Arial"/>
                <w:sz w:val="17"/>
                <w:szCs w:val="17"/>
                <w:color w:val="auto"/>
              </w:rPr>
              <w:t>ʼ</w:t>
            </w:r>
            <w:r>
              <w:rPr>
                <w:rFonts w:ascii="Times New Roman" w:cs="Times New Roman" w:eastAsia="Times New Roman" w:hAnsi="Times New Roman"/>
                <w:sz w:val="17"/>
                <w:szCs w:val="17"/>
                <w:color w:val="auto"/>
              </w:rPr>
              <w:t xml:space="preserve"> equity:</w:t>
            </w: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16"/>
        </w:trPr>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Preferred stock, $0.001 par value— 10,000,000 shares authorized as of May 31, 2024 and November 30, 2023;</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8"/>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 shares issued and outstanding as of May 31, 2024 and November 30, 2023</w:t>
            </w:r>
          </w:p>
        </w:tc>
        <w:tc>
          <w:tcPr>
            <w:tcW w:w="3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Common stock, $0.001 par value— 500,000,000 shares authorized as of May 31, 2024 and November 30, 2023;</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6"/>
        </w:trPr>
        <w:tc>
          <w:tcPr>
            <w:tcW w:w="7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64,356,535 and 48,718,552 shares issued and outstanding as of May 31, 2024 and November 30, 2023,</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3"/>
        </w:trPr>
        <w:tc>
          <w:tcPr>
            <w:tcW w:w="7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respectively</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5"/>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1,002,028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746,299</w:t>
            </w: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w:t>
            </w:r>
          </w:p>
        </w:tc>
      </w:tr>
      <w:tr>
        <w:trPr>
          <w:trHeight w:val="25"/>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Accumulated deficit</w:t>
            </w: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(631,264)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(545,200)</w:t>
            </w:r>
          </w:p>
        </w:tc>
      </w:tr>
      <w:tr>
        <w:trPr>
          <w:trHeight w:val="251"/>
        </w:trPr>
        <w:tc>
          <w:tcPr>
            <w:tcW w:w="79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stockholders</w:t>
            </w:r>
            <w:r>
              <w:rPr>
                <w:rFonts w:ascii="Arial" w:cs="Arial" w:eastAsia="Arial" w:hAnsi="Arial"/>
                <w:sz w:val="17"/>
                <w:szCs w:val="17"/>
                <w:color w:val="auto"/>
              </w:rPr>
              <w:t>ʼ</w:t>
            </w:r>
            <w:r>
              <w:rPr>
                <w:rFonts w:ascii="Times New Roman" w:cs="Times New Roman" w:eastAsia="Times New Roman" w:hAnsi="Times New Roman"/>
                <w:sz w:val="17"/>
                <w:szCs w:val="17"/>
                <w:color w:val="auto"/>
              </w:rPr>
              <w:t xml:space="preserve"> equity</w:t>
            </w:r>
          </w:p>
        </w:tc>
        <w:tc>
          <w:tcPr>
            <w:tcW w:w="3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370,693</w:t>
            </w:r>
          </w:p>
        </w:tc>
        <w:tc>
          <w:tcPr>
            <w:tcW w:w="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200,493</w:t>
            </w:r>
          </w:p>
        </w:tc>
      </w:tr>
      <w:tr>
        <w:trPr>
          <w:trHeight w:val="276"/>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 and stockholders</w:t>
            </w:r>
            <w:r>
              <w:rPr>
                <w:rFonts w:ascii="Arial" w:cs="Arial" w:eastAsia="Arial" w:hAnsi="Arial"/>
                <w:sz w:val="17"/>
                <w:szCs w:val="17"/>
                <w:color w:val="auto"/>
              </w:rPr>
              <w:t>ʼ</w:t>
            </w:r>
            <w:r>
              <w:rPr>
                <w:rFonts w:ascii="Times New Roman" w:cs="Times New Roman" w:eastAsia="Times New Roman" w:hAnsi="Times New Roman"/>
                <w:sz w:val="17"/>
                <w:szCs w:val="17"/>
                <w:color w:val="auto"/>
              </w:rPr>
              <w:t xml:space="preserve"> equity</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511,031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355,598</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NURIX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4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4"/>
                <w:szCs w:val="14"/>
                <w:color w:val="auto"/>
              </w:rPr>
            </w:pPr>
          </w:p>
        </w:tc>
      </w:tr>
      <w:tr>
        <w:trPr>
          <w:trHeight w:val="182"/>
        </w:trPr>
        <w:tc>
          <w:tcPr>
            <w:tcW w:w="4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gridSpan w:val="3"/>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80" w:type="dxa"/>
            <w:vAlign w:val="bottom"/>
            <w:gridSpan w:val="3"/>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1020" w:type="dxa"/>
            <w:vAlign w:val="bottom"/>
          </w:tcPr>
          <w:p>
            <w:pPr>
              <w:spacing w:after="0"/>
              <w:rPr>
                <w:sz w:val="15"/>
                <w:szCs w:val="15"/>
                <w:color w:val="auto"/>
              </w:rPr>
            </w:pPr>
          </w:p>
        </w:tc>
      </w:tr>
      <w:tr>
        <w:trPr>
          <w:trHeight w:val="35"/>
        </w:trPr>
        <w:tc>
          <w:tcPr>
            <w:tcW w:w="46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77"/>
        </w:trPr>
        <w:tc>
          <w:tcPr>
            <w:tcW w:w="4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46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1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32"/>
        </w:trPr>
        <w:tc>
          <w:tcPr>
            <w:tcW w:w="4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Collaboration revenue</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12,092</w:t>
            </w:r>
          </w:p>
        </w:tc>
        <w:tc>
          <w:tcPr>
            <w:tcW w:w="80" w:type="dxa"/>
            <w:vAlign w:val="bottom"/>
          </w:tcPr>
          <w:p>
            <w:pPr>
              <w:spacing w:after="0"/>
              <w:rPr>
                <w:sz w:val="20"/>
                <w:szCs w:val="20"/>
                <w:color w:val="auto"/>
              </w:rPr>
            </w:pPr>
          </w:p>
        </w:tc>
        <w:tc>
          <w:tcPr>
            <w:tcW w:w="62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10,676</w:t>
            </w:r>
          </w:p>
        </w:tc>
        <w:tc>
          <w:tcPr>
            <w:tcW w:w="120" w:type="dxa"/>
            <w:vAlign w:val="bottom"/>
          </w:tcPr>
          <w:p>
            <w:pPr>
              <w:spacing w:after="0"/>
              <w:rPr>
                <w:sz w:val="20"/>
                <w:szCs w:val="20"/>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28,677</w:t>
            </w:r>
          </w:p>
        </w:tc>
        <w:tc>
          <w:tcPr>
            <w:tcW w:w="80" w:type="dxa"/>
            <w:vAlign w:val="bottom"/>
          </w:tcPr>
          <w:p>
            <w:pPr>
              <w:spacing w:after="0"/>
              <w:rPr>
                <w:sz w:val="20"/>
                <w:szCs w:val="20"/>
                <w:color w:val="auto"/>
              </w:rPr>
            </w:pPr>
          </w:p>
        </w:tc>
        <w:tc>
          <w:tcPr>
            <w:tcW w:w="5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23,361</w:t>
            </w:r>
          </w:p>
        </w:tc>
      </w:tr>
      <w:tr>
        <w:trPr>
          <w:trHeight w:val="25"/>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8"/>
        </w:trPr>
        <w:tc>
          <w:tcPr>
            <w:tcW w:w="4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License revenue</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r>
      <w:tr>
        <w:trPr>
          <w:trHeight w:val="225"/>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12,092</w:t>
            </w:r>
          </w:p>
        </w:tc>
        <w:tc>
          <w:tcPr>
            <w:tcW w:w="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30,676</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28,677</w:t>
            </w: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43,361</w:t>
            </w:r>
          </w:p>
        </w:tc>
      </w:tr>
      <w:tr>
        <w:trPr>
          <w:trHeight w:val="25"/>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32"/>
        </w:trPr>
        <w:tc>
          <w:tcPr>
            <w:tcW w:w="4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48,922</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45,763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98,927</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91,579</w:t>
            </w:r>
          </w:p>
        </w:tc>
      </w:tr>
      <w:tr>
        <w:trPr>
          <w:trHeight w:val="25"/>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8"/>
        </w:trPr>
        <w:tc>
          <w:tcPr>
            <w:tcW w:w="4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11,710</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23,509</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21,499</w:t>
            </w:r>
          </w:p>
        </w:tc>
      </w:tr>
      <w:tr>
        <w:trPr>
          <w:trHeight w:val="225"/>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60,632</w:t>
            </w:r>
          </w:p>
        </w:tc>
        <w:tc>
          <w:tcPr>
            <w:tcW w:w="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57,441</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122,436</w:t>
            </w: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113,078</w:t>
            </w:r>
          </w:p>
        </w:tc>
      </w:tr>
      <w:tr>
        <w:trPr>
          <w:trHeight w:val="25"/>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(48,540)</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(26,765)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(93,759)</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(69,717)</w:t>
            </w:r>
          </w:p>
        </w:tc>
      </w:tr>
      <w:tr>
        <w:trPr>
          <w:trHeight w:val="232"/>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and other income, net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4,084</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7,875</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4,707</w:t>
            </w:r>
          </w:p>
        </w:tc>
      </w:tr>
      <w:tr>
        <w:trPr>
          <w:trHeight w:val="25"/>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(44,456)</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(24,277)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(85,884)</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(65,010)</w:t>
            </w:r>
          </w:p>
        </w:tc>
      </w:tr>
      <w:tr>
        <w:trPr>
          <w:trHeight w:val="232"/>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6"/>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(44,546)</w:t>
            </w: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(24,277)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(86,064)</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(65,010)</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(0.71)</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74"/>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number of shares outstanding, basic and diluted</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62,377,551</w:t>
            </w: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54,259,045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58,660,900</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54,144,909</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NURIX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4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4"/>
                <w:szCs w:val="14"/>
                <w:color w:val="auto"/>
              </w:rPr>
            </w:pPr>
          </w:p>
        </w:tc>
      </w:tr>
      <w:tr>
        <w:trPr>
          <w:trHeight w:val="182"/>
        </w:trPr>
        <w:tc>
          <w:tcPr>
            <w:tcW w:w="4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gridSpan w:val="3"/>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80" w:type="dxa"/>
            <w:vAlign w:val="bottom"/>
            <w:gridSpan w:val="3"/>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1020" w:type="dxa"/>
            <w:vAlign w:val="bottom"/>
          </w:tcPr>
          <w:p>
            <w:pPr>
              <w:spacing w:after="0"/>
              <w:rPr>
                <w:sz w:val="15"/>
                <w:szCs w:val="15"/>
                <w:color w:val="auto"/>
              </w:rPr>
            </w:pPr>
          </w:p>
        </w:tc>
      </w:tr>
      <w:tr>
        <w:trPr>
          <w:trHeight w:val="35"/>
        </w:trPr>
        <w:tc>
          <w:tcPr>
            <w:tcW w:w="46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77"/>
        </w:trPr>
        <w:tc>
          <w:tcPr>
            <w:tcW w:w="4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46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1"/>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920" w:type="dxa"/>
            <w:vAlign w:val="bottom"/>
            <w:tcBorders>
              <w:bottom w:val="single" w:sz="8" w:color="CCEEFF"/>
            </w:tcBorders>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(44,546)</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(24,277)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(86,064)</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(65,010)</w:t>
            </w:r>
          </w:p>
        </w:tc>
      </w:tr>
      <w:tr>
        <w:trPr>
          <w:trHeight w:val="232"/>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
        </w:trPr>
        <w:tc>
          <w:tcPr>
            <w:tcW w:w="4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8"/>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Unrealized gain on available-for-sale marketable securities</w:t>
            </w:r>
          </w:p>
        </w:tc>
        <w:tc>
          <w:tcPr>
            <w:tcW w:w="9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520</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2,416</w:t>
            </w:r>
          </w:p>
        </w:tc>
      </w:tr>
      <w:tr>
        <w:trPr>
          <w:trHeight w:val="251"/>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comprehensive loss</w:t>
            </w:r>
          </w:p>
        </w:tc>
        <w:tc>
          <w:tcPr>
            <w:tcW w:w="920" w:type="dxa"/>
            <w:vAlign w:val="bottom"/>
            <w:tcBorders>
              <w:top w:val="single" w:sz="8" w:color="auto"/>
              <w:bottom w:val="single" w:sz="8" w:color="auto"/>
            </w:tcBorders>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(44,331)</w:t>
            </w:r>
          </w:p>
        </w:tc>
        <w:tc>
          <w:tcPr>
            <w:tcW w:w="10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(22,933)</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(85,544)</w:t>
            </w:r>
          </w:p>
        </w:tc>
        <w:tc>
          <w:tcPr>
            <w:tcW w:w="8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(62,594)</w:t>
            </w:r>
          </w:p>
        </w:tc>
      </w:tr>
      <w:tr>
        <w:trPr>
          <w:trHeight w:val="20"/>
        </w:trPr>
        <w:tc>
          <w:tcPr>
            <w:tcW w:w="4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NURIX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3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2060" w:type="dxa"/>
            <w:vAlign w:val="bottom"/>
            <w:gridSpan w:val="3"/>
            <w:vMerge w:val="restart"/>
          </w:tcPr>
          <w:p>
            <w:pPr>
              <w:jc w:val="right"/>
              <w:ind w:right="428"/>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14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85"/>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95"/>
        </w:trPr>
        <w:tc>
          <w:tcPr>
            <w:tcW w:w="396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gridSpan w:val="2"/>
            <w:vMerge w:val="restart"/>
          </w:tcPr>
          <w:p>
            <w:pPr>
              <w:jc w:val="center"/>
              <w:ind w:right="280"/>
              <w:spacing w:after="0" w:line="116"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8"/>
                <w:szCs w:val="8"/>
                <w:color w:val="auto"/>
              </w:rPr>
            </w:pPr>
          </w:p>
        </w:tc>
        <w:tc>
          <w:tcPr>
            <w:tcW w:w="1100" w:type="dxa"/>
            <w:vAlign w:val="bottom"/>
            <w:gridSpan w:val="2"/>
            <w:vMerge w:val="restart"/>
          </w:tcPr>
          <w:p>
            <w:pPr>
              <w:jc w:val="center"/>
              <w:ind w:right="220"/>
              <w:spacing w:after="0" w:line="116"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40" w:type="dxa"/>
            <w:vAlign w:val="bottom"/>
          </w:tcPr>
          <w:p>
            <w:pPr>
              <w:spacing w:after="0"/>
              <w:rPr>
                <w:sz w:val="8"/>
                <w:szCs w:val="8"/>
                <w:color w:val="auto"/>
              </w:rPr>
            </w:pPr>
          </w:p>
        </w:tc>
        <w:tc>
          <w:tcPr>
            <w:tcW w:w="1080" w:type="dxa"/>
            <w:vAlign w:val="bottom"/>
            <w:gridSpan w:val="2"/>
            <w:vMerge w:val="restart"/>
          </w:tcPr>
          <w:p>
            <w:pPr>
              <w:ind w:left="60"/>
              <w:spacing w:after="0" w:line="116"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8"/>
                <w:szCs w:val="8"/>
                <w:color w:val="auto"/>
              </w:rPr>
            </w:pPr>
          </w:p>
        </w:tc>
        <w:tc>
          <w:tcPr>
            <w:tcW w:w="980" w:type="dxa"/>
            <w:vAlign w:val="bottom"/>
            <w:vMerge w:val="restart"/>
          </w:tcPr>
          <w:p>
            <w:pPr>
              <w:jc w:val="center"/>
              <w:ind w:right="105"/>
              <w:spacing w:after="0" w:line="116"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28"/>
        </w:trPr>
        <w:tc>
          <w:tcPr>
            <w:tcW w:w="39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14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60" w:type="dxa"/>
            <w:vAlign w:val="bottom"/>
          </w:tcPr>
          <w:p>
            <w:pPr>
              <w:spacing w:after="0"/>
              <w:rPr>
                <w:sz w:val="14"/>
                <w:szCs w:val="14"/>
                <w:color w:val="auto"/>
              </w:rPr>
            </w:pPr>
          </w:p>
        </w:tc>
        <w:tc>
          <w:tcPr>
            <w:tcW w:w="980" w:type="dxa"/>
            <w:vAlign w:val="bottom"/>
          </w:tcPr>
          <w:p>
            <w:pPr>
              <w:jc w:val="center"/>
              <w:ind w:right="105"/>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0" w:type="dxa"/>
            <w:vAlign w:val="bottom"/>
          </w:tcPr>
          <w:p>
            <w:pPr>
              <w:spacing w:after="0"/>
              <w:rPr>
                <w:sz w:val="1"/>
                <w:szCs w:val="1"/>
                <w:color w:val="auto"/>
              </w:rPr>
            </w:pPr>
          </w:p>
        </w:tc>
      </w:tr>
      <w:tr>
        <w:trPr>
          <w:trHeight w:val="28"/>
        </w:trPr>
        <w:tc>
          <w:tcPr>
            <w:tcW w:w="39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November 30, 2022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47,172,299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709,220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(401,252)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303,696</w:t>
            </w:r>
          </w:p>
        </w:tc>
        <w:tc>
          <w:tcPr>
            <w:tcW w:w="0" w:type="dxa"/>
            <w:vAlign w:val="bottom"/>
          </w:tcPr>
          <w:p>
            <w:pPr>
              <w:spacing w:after="0"/>
              <w:rPr>
                <w:sz w:val="1"/>
                <w:szCs w:val="1"/>
                <w:color w:val="auto"/>
              </w:rPr>
            </w:pPr>
          </w:p>
        </w:tc>
      </w:tr>
      <w:tr>
        <w:trPr>
          <w:trHeight w:val="223"/>
        </w:trPr>
        <w:tc>
          <w:tcPr>
            <w:tcW w:w="39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8,768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28</w:t>
            </w:r>
          </w:p>
        </w:tc>
        <w:tc>
          <w:tcPr>
            <w:tcW w:w="0" w:type="dxa"/>
            <w:vAlign w:val="bottom"/>
          </w:tcPr>
          <w:p>
            <w:pPr>
              <w:spacing w:after="0"/>
              <w:rPr>
                <w:sz w:val="1"/>
                <w:szCs w:val="1"/>
                <w:color w:val="auto"/>
              </w:rPr>
            </w:pPr>
          </w:p>
        </w:tc>
      </w:tr>
      <w:tr>
        <w:trPr>
          <w:trHeight w:val="241"/>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Vesting of restricted stock units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98,571</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39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Vesting of early exercised stock options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241"/>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Issuance under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165,215</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1,453</w:t>
            </w:r>
          </w:p>
        </w:tc>
        <w:tc>
          <w:tcPr>
            <w:tcW w:w="0" w:type="dxa"/>
            <w:vAlign w:val="bottom"/>
          </w:tcPr>
          <w:p>
            <w:pPr>
              <w:spacing w:after="0"/>
              <w:rPr>
                <w:sz w:val="1"/>
                <w:szCs w:val="1"/>
                <w:color w:val="auto"/>
              </w:rPr>
            </w:pPr>
          </w:p>
        </w:tc>
      </w:tr>
      <w:tr>
        <w:trPr>
          <w:trHeight w:val="223"/>
        </w:trPr>
        <w:tc>
          <w:tcPr>
            <w:tcW w:w="39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Stock-based compensation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8,505</w:t>
            </w:r>
          </w:p>
        </w:tc>
        <w:tc>
          <w:tcPr>
            <w:tcW w:w="0" w:type="dxa"/>
            <w:vAlign w:val="bottom"/>
          </w:tcPr>
          <w:p>
            <w:pPr>
              <w:spacing w:after="0"/>
              <w:rPr>
                <w:sz w:val="1"/>
                <w:szCs w:val="1"/>
                <w:color w:val="auto"/>
              </w:rPr>
            </w:pPr>
          </w:p>
        </w:tc>
      </w:tr>
      <w:tr>
        <w:trPr>
          <w:trHeight w:val="241"/>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Unrealized gain on available-for-sale marketable securities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1,072</w:t>
            </w:r>
          </w:p>
        </w:tc>
        <w:tc>
          <w:tcPr>
            <w:tcW w:w="0" w:type="dxa"/>
            <w:vAlign w:val="bottom"/>
          </w:tcPr>
          <w:p>
            <w:pPr>
              <w:spacing w:after="0"/>
              <w:rPr>
                <w:sz w:val="1"/>
                <w:szCs w:val="1"/>
                <w:color w:val="auto"/>
              </w:rPr>
            </w:pPr>
          </w:p>
        </w:tc>
      </w:tr>
      <w:tr>
        <w:trPr>
          <w:trHeight w:val="225"/>
        </w:trPr>
        <w:tc>
          <w:tcPr>
            <w:tcW w:w="39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Net loss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(40,733)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(40,733)</w:t>
            </w:r>
          </w:p>
        </w:tc>
        <w:tc>
          <w:tcPr>
            <w:tcW w:w="0" w:type="dxa"/>
            <w:vAlign w:val="bottom"/>
          </w:tcPr>
          <w:p>
            <w:pPr>
              <w:spacing w:after="0"/>
              <w:rPr>
                <w:sz w:val="1"/>
                <w:szCs w:val="1"/>
                <w:color w:val="auto"/>
              </w:rPr>
            </w:pPr>
          </w:p>
        </w:tc>
      </w:tr>
      <w:tr>
        <w:trPr>
          <w:trHeight w:val="232"/>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February 28,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47,444,853</w:t>
            </w:r>
          </w:p>
        </w:tc>
        <w:tc>
          <w:tcPr>
            <w:tcW w:w="10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47</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719,237</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(3,247)</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(441,985)</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274,052</w:t>
            </w:r>
          </w:p>
        </w:tc>
        <w:tc>
          <w:tcPr>
            <w:tcW w:w="0" w:type="dxa"/>
            <w:vAlign w:val="bottom"/>
          </w:tcPr>
          <w:p>
            <w:pPr>
              <w:spacing w:after="0"/>
              <w:rPr>
                <w:sz w:val="1"/>
                <w:szCs w:val="1"/>
                <w:color w:val="auto"/>
              </w:rPr>
            </w:pPr>
          </w:p>
        </w:tc>
      </w:tr>
      <w:tr>
        <w:trPr>
          <w:trHeight w:val="223"/>
        </w:trPr>
        <w:tc>
          <w:tcPr>
            <w:tcW w:w="39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Exercise of pre-funded warrants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148,497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41"/>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5,597</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223"/>
        </w:trPr>
        <w:tc>
          <w:tcPr>
            <w:tcW w:w="39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Vesting of 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32,261</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1"/>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Vesting of early exercised stock options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223"/>
        </w:trPr>
        <w:tc>
          <w:tcPr>
            <w:tcW w:w="39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Stock-based compensation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8,746</w:t>
            </w:r>
          </w:p>
        </w:tc>
        <w:tc>
          <w:tcPr>
            <w:tcW w:w="0" w:type="dxa"/>
            <w:vAlign w:val="bottom"/>
          </w:tcPr>
          <w:p>
            <w:pPr>
              <w:spacing w:after="0"/>
              <w:rPr>
                <w:sz w:val="1"/>
                <w:szCs w:val="1"/>
                <w:color w:val="auto"/>
              </w:rPr>
            </w:pPr>
          </w:p>
        </w:tc>
      </w:tr>
      <w:tr>
        <w:trPr>
          <w:trHeight w:val="241"/>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Unrealized gain on available-for-sale marketable securities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1,344</w:t>
            </w:r>
          </w:p>
        </w:tc>
        <w:tc>
          <w:tcPr>
            <w:tcW w:w="0" w:type="dxa"/>
            <w:vAlign w:val="bottom"/>
          </w:tcPr>
          <w:p>
            <w:pPr>
              <w:spacing w:after="0"/>
              <w:rPr>
                <w:sz w:val="1"/>
                <w:szCs w:val="1"/>
                <w:color w:val="auto"/>
              </w:rPr>
            </w:pPr>
          </w:p>
        </w:tc>
      </w:tr>
      <w:tr>
        <w:trPr>
          <w:trHeight w:val="225"/>
        </w:trPr>
        <w:tc>
          <w:tcPr>
            <w:tcW w:w="39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Net loss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(24,277)</w:t>
            </w:r>
          </w:p>
        </w:tc>
        <w:tc>
          <w:tcPr>
            <w:tcW w:w="0" w:type="dxa"/>
            <w:vAlign w:val="bottom"/>
          </w:tcPr>
          <w:p>
            <w:pPr>
              <w:spacing w:after="0"/>
              <w:rPr>
                <w:sz w:val="1"/>
                <w:szCs w:val="1"/>
                <w:color w:val="auto"/>
              </w:rPr>
            </w:pPr>
          </w:p>
        </w:tc>
      </w:tr>
      <w:tr>
        <w:trPr>
          <w:trHeight w:val="257"/>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May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47,631,208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728,038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(466,262)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259,921</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142"/>
        </w:trPr>
        <w:tc>
          <w:tcPr>
            <w:tcW w:w="3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040" w:type="dxa"/>
            <w:vAlign w:val="bottom"/>
            <w:gridSpan w:val="3"/>
            <w:vMerge w:val="restart"/>
          </w:tcPr>
          <w:p>
            <w:pPr>
              <w:jc w:val="right"/>
              <w:ind w:right="428"/>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14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85"/>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95"/>
        </w:trPr>
        <w:tc>
          <w:tcPr>
            <w:tcW w:w="3940" w:type="dxa"/>
            <w:vAlign w:val="bottom"/>
          </w:tcPr>
          <w:p>
            <w:pPr>
              <w:spacing w:after="0"/>
              <w:rPr>
                <w:sz w:val="8"/>
                <w:szCs w:val="8"/>
                <w:color w:val="auto"/>
              </w:rPr>
            </w:pPr>
          </w:p>
        </w:tc>
        <w:tc>
          <w:tcPr>
            <w:tcW w:w="204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2"/>
            <w:vMerge w:val="restart"/>
          </w:tcPr>
          <w:p>
            <w:pPr>
              <w:jc w:val="center"/>
              <w:ind w:right="280"/>
              <w:spacing w:after="0" w:line="116"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8"/>
                <w:szCs w:val="8"/>
                <w:color w:val="auto"/>
              </w:rPr>
            </w:pPr>
          </w:p>
        </w:tc>
        <w:tc>
          <w:tcPr>
            <w:tcW w:w="1100" w:type="dxa"/>
            <w:vAlign w:val="bottom"/>
            <w:gridSpan w:val="2"/>
            <w:vMerge w:val="restart"/>
          </w:tcPr>
          <w:p>
            <w:pPr>
              <w:jc w:val="center"/>
              <w:ind w:right="220"/>
              <w:spacing w:after="0" w:line="116"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60" w:type="dxa"/>
            <w:vAlign w:val="bottom"/>
          </w:tcPr>
          <w:p>
            <w:pPr>
              <w:spacing w:after="0"/>
              <w:rPr>
                <w:sz w:val="8"/>
                <w:szCs w:val="8"/>
                <w:color w:val="auto"/>
              </w:rPr>
            </w:pPr>
          </w:p>
        </w:tc>
        <w:tc>
          <w:tcPr>
            <w:tcW w:w="1060" w:type="dxa"/>
            <w:vAlign w:val="bottom"/>
            <w:gridSpan w:val="2"/>
            <w:vMerge w:val="restart"/>
          </w:tcPr>
          <w:p>
            <w:pPr>
              <w:ind w:left="60"/>
              <w:spacing w:after="0" w:line="116"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8"/>
                <w:szCs w:val="8"/>
                <w:color w:val="auto"/>
              </w:rPr>
            </w:pPr>
          </w:p>
        </w:tc>
        <w:tc>
          <w:tcPr>
            <w:tcW w:w="980" w:type="dxa"/>
            <w:vAlign w:val="bottom"/>
            <w:vMerge w:val="restart"/>
          </w:tcPr>
          <w:p>
            <w:pPr>
              <w:jc w:val="center"/>
              <w:ind w:right="85"/>
              <w:spacing w:after="0" w:line="116"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16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40" w:type="dxa"/>
            <w:vAlign w:val="bottom"/>
          </w:tcPr>
          <w:p>
            <w:pPr>
              <w:spacing w:after="0"/>
              <w:rPr>
                <w:sz w:val="14"/>
                <w:szCs w:val="14"/>
                <w:color w:val="auto"/>
              </w:rPr>
            </w:pPr>
          </w:p>
        </w:tc>
        <w:tc>
          <w:tcPr>
            <w:tcW w:w="980" w:type="dxa"/>
            <w:vAlign w:val="bottom"/>
          </w:tcPr>
          <w:p>
            <w:pPr>
              <w:jc w:val="center"/>
              <w:ind w:right="65"/>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0" w:type="dxa"/>
            <w:vAlign w:val="bottom"/>
          </w:tcPr>
          <w:p>
            <w:pPr>
              <w:spacing w:after="0"/>
              <w:rPr>
                <w:sz w:val="1"/>
                <w:szCs w:val="1"/>
                <w:color w:val="auto"/>
              </w:rPr>
            </w:pPr>
          </w:p>
        </w:tc>
      </w:tr>
      <w:tr>
        <w:trPr>
          <w:trHeight w:val="28"/>
        </w:trPr>
        <w:tc>
          <w:tcPr>
            <w:tcW w:w="39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November 30,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48,718,552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746,299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(545,200)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200,493</w:t>
            </w:r>
          </w:p>
        </w:tc>
        <w:tc>
          <w:tcPr>
            <w:tcW w:w="0" w:type="dxa"/>
            <w:vAlign w:val="bottom"/>
          </w:tcPr>
          <w:p>
            <w:pPr>
              <w:spacing w:after="0"/>
              <w:rPr>
                <w:sz w:val="1"/>
                <w:szCs w:val="1"/>
                <w:color w:val="auto"/>
              </w:rPr>
            </w:pPr>
          </w:p>
        </w:tc>
      </w:tr>
      <w:tr>
        <w:trPr>
          <w:trHeight w:val="223"/>
        </w:trPr>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75,362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355</w:t>
            </w:r>
          </w:p>
        </w:tc>
        <w:tc>
          <w:tcPr>
            <w:tcW w:w="0" w:type="dxa"/>
            <w:vAlign w:val="bottom"/>
          </w:tcPr>
          <w:p>
            <w:pPr>
              <w:spacing w:after="0"/>
              <w:rPr>
                <w:sz w:val="1"/>
                <w:szCs w:val="1"/>
                <w:color w:val="auto"/>
              </w:rPr>
            </w:pPr>
          </w:p>
        </w:tc>
      </w:tr>
      <w:tr>
        <w:trPr>
          <w:trHeight w:val="241"/>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Vesting of restricted stock units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171,030</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Vesting of early exercised stock options</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241"/>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Repurchase of unvested early exercised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(1,548)</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Issuance under employee stock purchase plan</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173,558</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1,269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1,269</w:t>
            </w:r>
          </w:p>
        </w:tc>
        <w:tc>
          <w:tcPr>
            <w:tcW w:w="0" w:type="dxa"/>
            <w:vAlign w:val="bottom"/>
          </w:tcPr>
          <w:p>
            <w:pPr>
              <w:spacing w:after="0"/>
              <w:rPr>
                <w:sz w:val="1"/>
                <w:szCs w:val="1"/>
                <w:color w:val="auto"/>
              </w:rPr>
            </w:pPr>
          </w:p>
        </w:tc>
      </w:tr>
      <w:tr>
        <w:trPr>
          <w:trHeight w:val="241"/>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Stock-based compensation</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7,823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7,823</w:t>
            </w:r>
          </w:p>
        </w:tc>
        <w:tc>
          <w:tcPr>
            <w:tcW w:w="0" w:type="dxa"/>
            <w:vAlign w:val="bottom"/>
          </w:tcPr>
          <w:p>
            <w:pPr>
              <w:spacing w:after="0"/>
              <w:rPr>
                <w:sz w:val="1"/>
                <w:szCs w:val="1"/>
                <w:color w:val="auto"/>
              </w:rPr>
            </w:pPr>
          </w:p>
        </w:tc>
      </w:tr>
      <w:tr>
        <w:trPr>
          <w:trHeight w:val="223"/>
        </w:trPr>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Unrealized gain on available-for-sale marketable securities</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305</w:t>
            </w: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Net loss</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(41,518)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(41,518)</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as of February 29, 2024</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49,136,954</w:t>
            </w: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755,767</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(586,718)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168,748</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Issuance of common stock and pre-funded warrants in</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connection with equity financing, net of issuance costs of</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$12,518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11,916,667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188,720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188,732</w:t>
            </w:r>
          </w:p>
        </w:tc>
        <w:tc>
          <w:tcPr>
            <w:tcW w:w="0" w:type="dxa"/>
            <w:vAlign w:val="bottom"/>
          </w:tcPr>
          <w:p>
            <w:pPr>
              <w:spacing w:after="0"/>
              <w:rPr>
                <w:sz w:val="1"/>
                <w:szCs w:val="1"/>
                <w:color w:val="auto"/>
              </w:rPr>
            </w:pPr>
          </w:p>
        </w:tc>
      </w:tr>
      <w:tr>
        <w:trPr>
          <w:trHeight w:val="194"/>
        </w:trPr>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Issuance of common stock in "at the market" financing, net</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9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of issuance costs of $1,684</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3,194,809</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48,466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48,469</w:t>
            </w:r>
          </w:p>
        </w:tc>
        <w:tc>
          <w:tcPr>
            <w:tcW w:w="0" w:type="dxa"/>
            <w:vAlign w:val="bottom"/>
          </w:tcPr>
          <w:p>
            <w:pPr>
              <w:spacing w:after="0"/>
              <w:rPr>
                <w:sz w:val="1"/>
                <w:szCs w:val="1"/>
                <w:color w:val="auto"/>
              </w:rPr>
            </w:pPr>
          </w:p>
        </w:tc>
      </w:tr>
      <w:tr>
        <w:trPr>
          <w:trHeight w:val="241"/>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24,108</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216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216</w:t>
            </w:r>
          </w:p>
        </w:tc>
        <w:tc>
          <w:tcPr>
            <w:tcW w:w="0" w:type="dxa"/>
            <w:vAlign w:val="bottom"/>
          </w:tcPr>
          <w:p>
            <w:pPr>
              <w:spacing w:after="0"/>
              <w:rPr>
                <w:sz w:val="1"/>
                <w:szCs w:val="1"/>
                <w:color w:val="auto"/>
              </w:rPr>
            </w:pPr>
          </w:p>
        </w:tc>
      </w:tr>
      <w:tr>
        <w:trPr>
          <w:trHeight w:val="223"/>
        </w:trPr>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Vesting of 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83,997</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1"/>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Vesting of early exercised stock options</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223"/>
        </w:trPr>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Stock-based compensation</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8,847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8,847</w:t>
            </w:r>
          </w:p>
        </w:tc>
        <w:tc>
          <w:tcPr>
            <w:tcW w:w="0" w:type="dxa"/>
            <w:vAlign w:val="bottom"/>
          </w:tcPr>
          <w:p>
            <w:pPr>
              <w:spacing w:after="0"/>
              <w:rPr>
                <w:sz w:val="1"/>
                <w:szCs w:val="1"/>
                <w:color w:val="auto"/>
              </w:rPr>
            </w:pPr>
          </w:p>
        </w:tc>
      </w:tr>
      <w:tr>
        <w:trPr>
          <w:trHeight w:val="241"/>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Unrealized gain on available-for-sale marketable securities</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215</w:t>
            </w:r>
          </w:p>
        </w:tc>
        <w:tc>
          <w:tcPr>
            <w:tcW w:w="0" w:type="dxa"/>
            <w:vAlign w:val="bottom"/>
          </w:tcPr>
          <w:p>
            <w:pPr>
              <w:spacing w:after="0"/>
              <w:rPr>
                <w:sz w:val="1"/>
                <w:szCs w:val="1"/>
                <w:color w:val="auto"/>
              </w:rPr>
            </w:pPr>
          </w:p>
        </w:tc>
      </w:tr>
      <w:tr>
        <w:trPr>
          <w:trHeight w:val="225"/>
        </w:trPr>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Net loss</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(44,546)</w:t>
            </w:r>
          </w:p>
        </w:tc>
        <w:tc>
          <w:tcPr>
            <w:tcW w:w="0" w:type="dxa"/>
            <w:vAlign w:val="bottom"/>
          </w:tcPr>
          <w:p>
            <w:pPr>
              <w:spacing w:after="0"/>
              <w:rPr>
                <w:sz w:val="1"/>
                <w:szCs w:val="1"/>
                <w:color w:val="auto"/>
              </w:rPr>
            </w:pPr>
          </w:p>
        </w:tc>
      </w:tr>
      <w:tr>
        <w:trPr>
          <w:trHeight w:val="257"/>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May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64,356,535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1,002,028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(631,264)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370,693</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NURIX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9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5"/>
                <w:szCs w:val="15"/>
                <w:b w:val="1"/>
                <w:bCs w:val="1"/>
                <w:color w:val="auto"/>
              </w:rPr>
              <w:t>Six Months Ended May 31,</w:t>
            </w:r>
          </w:p>
        </w:tc>
        <w:tc>
          <w:tcPr>
            <w:tcW w:w="0" w:type="dxa"/>
            <w:vAlign w:val="bottom"/>
          </w:tcPr>
          <w:p>
            <w:pPr>
              <w:spacing w:after="0"/>
              <w:rPr>
                <w:sz w:val="1"/>
                <w:szCs w:val="1"/>
                <w:color w:val="auto"/>
              </w:rPr>
            </w:pPr>
          </w:p>
        </w:tc>
      </w:tr>
      <w:tr>
        <w:trPr>
          <w:trHeight w:val="225"/>
        </w:trPr>
        <w:tc>
          <w:tcPr>
            <w:tcW w:w="79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25"/>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(86,064)</w:t>
            </w:r>
          </w:p>
        </w:tc>
        <w:tc>
          <w:tcPr>
            <w:tcW w:w="8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(65,010)</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3,648</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Stock-based compensation</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16,667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17,204</w:t>
            </w:r>
          </w:p>
        </w:tc>
        <w:tc>
          <w:tcPr>
            <w:tcW w:w="0" w:type="dxa"/>
            <w:vAlign w:val="bottom"/>
          </w:tcPr>
          <w:p>
            <w:pPr>
              <w:spacing w:after="0"/>
              <w:rPr>
                <w:sz w:val="1"/>
                <w:szCs w:val="1"/>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accretion of discount on marketable securities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(1,808)</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3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Amortization of operating lease right-of-use assets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2,865</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payable</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w:t>
            </w:r>
          </w:p>
        </w:tc>
        <w:tc>
          <w:tcPr>
            <w:tcW w:w="0" w:type="dxa"/>
            <w:vAlign w:val="bottom"/>
          </w:tcPr>
          <w:p>
            <w:pPr>
              <w:spacing w:after="0"/>
              <w:rPr>
                <w:sz w:val="1"/>
                <w:szCs w:val="1"/>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revenue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(14,861)</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(3,092)</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(3,084)</w:t>
            </w:r>
          </w:p>
        </w:tc>
        <w:tc>
          <w:tcPr>
            <w:tcW w:w="0" w:type="dxa"/>
            <w:vAlign w:val="bottom"/>
          </w:tcPr>
          <w:p>
            <w:pPr>
              <w:spacing w:after="0"/>
              <w:rPr>
                <w:sz w:val="1"/>
                <w:szCs w:val="1"/>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(4,647)</w:t>
            </w:r>
          </w:p>
        </w:tc>
        <w:tc>
          <w:tcPr>
            <w:tcW w:w="0" w:type="dxa"/>
            <w:vAlign w:val="bottom"/>
          </w:tcPr>
          <w:p>
            <w:pPr>
              <w:spacing w:after="0"/>
              <w:rPr>
                <w:sz w:val="1"/>
                <w:szCs w:val="1"/>
                <w:color w:val="auto"/>
              </w:rPr>
            </w:pPr>
          </w:p>
        </w:tc>
      </w:tr>
      <w:tr>
        <w:trPr>
          <w:trHeight w:val="25"/>
        </w:trPr>
        <w:tc>
          <w:tcPr>
            <w:tcW w:w="7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(81,656)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(66,921)</w:t>
            </w:r>
          </w:p>
        </w:tc>
        <w:tc>
          <w:tcPr>
            <w:tcW w:w="0" w:type="dxa"/>
            <w:vAlign w:val="bottom"/>
          </w:tcPr>
          <w:p>
            <w:pPr>
              <w:spacing w:after="0"/>
              <w:rPr>
                <w:sz w:val="1"/>
                <w:szCs w:val="1"/>
                <w:color w:val="auto"/>
              </w:rPr>
            </w:pPr>
          </w:p>
        </w:tc>
      </w:tr>
      <w:tr>
        <w:trPr>
          <w:trHeight w:val="225"/>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Purchases of marketable securities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(279,921)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(83,353)</w:t>
            </w:r>
          </w:p>
        </w:tc>
        <w:tc>
          <w:tcPr>
            <w:tcW w:w="0" w:type="dxa"/>
            <w:vAlign w:val="bottom"/>
          </w:tcPr>
          <w:p>
            <w:pPr>
              <w:spacing w:after="0"/>
              <w:rPr>
                <w:sz w:val="1"/>
                <w:szCs w:val="1"/>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Maturities of marketable securities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189,185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146,609</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(4,821)</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(3,357)</w:t>
            </w:r>
          </w:p>
        </w:tc>
        <w:tc>
          <w:tcPr>
            <w:tcW w:w="0" w:type="dxa"/>
            <w:vAlign w:val="bottom"/>
          </w:tcPr>
          <w:p>
            <w:pPr>
              <w:spacing w:after="0"/>
              <w:rPr>
                <w:sz w:val="1"/>
                <w:szCs w:val="1"/>
                <w:color w:val="auto"/>
              </w:rPr>
            </w:pPr>
          </w:p>
        </w:tc>
      </w:tr>
      <w:tr>
        <w:trPr>
          <w:trHeight w:val="225"/>
        </w:trPr>
        <w:tc>
          <w:tcPr>
            <w:tcW w:w="7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(95,557)</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59,899</w:t>
            </w:r>
          </w:p>
        </w:tc>
        <w:tc>
          <w:tcPr>
            <w:tcW w:w="0" w:type="dxa"/>
            <w:vAlign w:val="bottom"/>
          </w:tcPr>
          <w:p>
            <w:pPr>
              <w:spacing w:after="0"/>
              <w:rPr>
                <w:sz w:val="1"/>
                <w:szCs w:val="1"/>
                <w:color w:val="auto"/>
              </w:rPr>
            </w:pPr>
          </w:p>
        </w:tc>
      </w:tr>
      <w:tr>
        <w:trPr>
          <w:trHeight w:val="25"/>
        </w:trPr>
        <w:tc>
          <w:tcPr>
            <w:tcW w:w="7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issuances of common stock and pre-funded warrants in equity financing, net of issuance costs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188,902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issuances of common stock in "at the market" financing, net of issuance costs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48,649</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issuance under employee stock purchase plan</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w:t>
            </w:r>
          </w:p>
        </w:tc>
        <w:tc>
          <w:tcPr>
            <w:tcW w:w="0" w:type="dxa"/>
            <w:vAlign w:val="bottom"/>
          </w:tcPr>
          <w:p>
            <w:pPr>
              <w:spacing w:after="0"/>
              <w:rPr>
                <w:sz w:val="1"/>
                <w:szCs w:val="1"/>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Repurchase of unvested early exercised stock options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7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239,376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1,506</w:t>
            </w:r>
          </w:p>
        </w:tc>
        <w:tc>
          <w:tcPr>
            <w:tcW w:w="0" w:type="dxa"/>
            <w:vAlign w:val="bottom"/>
          </w:tcPr>
          <w:p>
            <w:pPr>
              <w:spacing w:after="0"/>
              <w:rPr>
                <w:sz w:val="1"/>
                <w:szCs w:val="1"/>
                <w:color w:val="auto"/>
              </w:rPr>
            </w:pPr>
          </w:p>
        </w:tc>
      </w:tr>
      <w:tr>
        <w:trPr>
          <w:trHeight w:val="225"/>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62,163</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(5,516)</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55,528</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65,375</w:t>
            </w:r>
          </w:p>
        </w:tc>
        <w:tc>
          <w:tcPr>
            <w:tcW w:w="0" w:type="dxa"/>
            <w:vAlign w:val="bottom"/>
          </w:tcPr>
          <w:p>
            <w:pPr>
              <w:spacing w:after="0"/>
              <w:rPr>
                <w:sz w:val="1"/>
                <w:szCs w:val="1"/>
                <w:color w:val="auto"/>
              </w:rPr>
            </w:pPr>
          </w:p>
        </w:tc>
      </w:tr>
      <w:tr>
        <w:trPr>
          <w:trHeight w:val="251"/>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117,691</w:t>
            </w:r>
          </w:p>
        </w:tc>
        <w:tc>
          <w:tcPr>
            <w:tcW w:w="8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59,859</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non-cash investing and financing activities:</w:t>
            </w: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to property and equipment included in accounts payable and accrued expenses and other current</w:t>
            </w:r>
          </w:p>
        </w:tc>
        <w:tc>
          <w:tcPr>
            <w:tcW w:w="36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1,932</w:t>
            </w:r>
          </w:p>
        </w:tc>
        <w:tc>
          <w:tcPr>
            <w:tcW w:w="80" w:type="dxa"/>
            <w:vAlign w:val="bottom"/>
          </w:tcPr>
          <w:p>
            <w:pPr>
              <w:spacing w:after="0"/>
              <w:rPr>
                <w:sz w:val="18"/>
                <w:szCs w:val="18"/>
                <w:color w:val="auto"/>
              </w:rPr>
            </w:pPr>
          </w:p>
        </w:tc>
        <w:tc>
          <w:tcPr>
            <w:tcW w:w="38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3,045</w:t>
            </w:r>
          </w:p>
        </w:tc>
        <w:tc>
          <w:tcPr>
            <w:tcW w:w="0" w:type="dxa"/>
            <w:vAlign w:val="bottom"/>
          </w:tcPr>
          <w:p>
            <w:pPr>
              <w:spacing w:after="0"/>
              <w:rPr>
                <w:sz w:val="1"/>
                <w:szCs w:val="1"/>
                <w:color w:val="auto"/>
              </w:rPr>
            </w:pPr>
          </w:p>
        </w:tc>
      </w:tr>
      <w:tr>
        <w:trPr>
          <w:trHeight w:val="228"/>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liabilities</w:t>
            </w:r>
          </w:p>
        </w:tc>
        <w:tc>
          <w:tcPr>
            <w:tcW w:w="36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recognized in exchange for lease obligations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Capitalized stock-based compensation related to internal-use software development</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Issuance costs related to equity financing included in accrued expenses and other current liabilities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issuance costs recognized related to the "at the market" financing</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Vesting of early exercised stock options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As of May 31,</w:t>
            </w:r>
          </w:p>
        </w:tc>
        <w:tc>
          <w:tcPr>
            <w:tcW w:w="1080" w:type="dxa"/>
            <w:vAlign w:val="bottom"/>
          </w:tcPr>
          <w:p>
            <w:pPr>
              <w:spacing w:after="0"/>
              <w:rPr>
                <w:sz w:val="15"/>
                <w:szCs w:val="15"/>
                <w:color w:val="auto"/>
              </w:rPr>
            </w:pPr>
          </w:p>
        </w:tc>
      </w:tr>
      <w:tr>
        <w:trPr>
          <w:trHeight w:val="22"/>
        </w:trPr>
        <w:tc>
          <w:tcPr>
            <w:tcW w:w="7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7"/>
        </w:trPr>
        <w:tc>
          <w:tcPr>
            <w:tcW w:w="79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79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cash, cash equivalents and restricted cash:</w:t>
            </w: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940" w:type="dxa"/>
            <w:vAlign w:val="bottom"/>
          </w:tcPr>
          <w:p>
            <w:pPr>
              <w:jc w:val="right"/>
              <w:ind w:right="76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116,790</w:t>
            </w:r>
          </w:p>
        </w:tc>
        <w:tc>
          <w:tcPr>
            <w:tcW w:w="80" w:type="dxa"/>
            <w:vAlign w:val="bottom"/>
          </w:tcPr>
          <w:p>
            <w:pPr>
              <w:spacing w:after="0"/>
              <w:rPr>
                <w:sz w:val="20"/>
                <w:szCs w:val="20"/>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58,958</w:t>
            </w: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9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w:t>
            </w:r>
          </w:p>
        </w:tc>
      </w:tr>
      <w:tr>
        <w:trPr>
          <w:trHeight w:val="232"/>
        </w:trPr>
        <w:tc>
          <w:tcPr>
            <w:tcW w:w="79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cash, cash equivalents and restricted cash</w:t>
            </w:r>
          </w:p>
        </w:tc>
        <w:tc>
          <w:tcPr>
            <w:tcW w:w="94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117,691</w:t>
            </w:r>
          </w:p>
        </w:tc>
        <w:tc>
          <w:tcPr>
            <w:tcW w:w="80" w:type="dxa"/>
            <w:vAlign w:val="bottom"/>
          </w:tcPr>
          <w:p>
            <w:pPr>
              <w:spacing w:after="0"/>
              <w:rPr>
                <w:sz w:val="20"/>
                <w:szCs w:val="20"/>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59,859</w:t>
            </w:r>
          </w:p>
        </w:tc>
      </w:tr>
      <w:tr>
        <w:trPr>
          <w:trHeight w:val="25"/>
        </w:trPr>
        <w:tc>
          <w:tcPr>
            <w:tcW w:w="7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NURIX THERAPEUTICS,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Description of Business</w:t>
      </w:r>
    </w:p>
    <w:p>
      <w:pPr>
        <w:spacing w:after="0" w:line="120"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Nurix Therapeutics, Inc. (the Company) was incorporated in the state of Delaware on August 27, 2009, and is headquartered in San Francisco, California. The Company is a clinical stage biopharmaceutical company focused on the discovery, development and commercialization of innovative small molecules and antibody therapies based on the modulation of cellular protein levels as a novel treatment approach for cancer, inflammatory conditions and other challenging diseases. Leveraging the Company’s expertise in E3 ligases together with its proprietary DNA-encoded libraries, the Company has built DELigase, an integrated discovery platform to identify and advance novel drug candidates targeting E3 ligases, a broad class of enzymes that can modulate proteins within the cell. The Company’s drug discovery approach is to either harness or inhibit the natural function of E3 ligases within the ubiquitin-proteasome system to selectively decrease or increase cellular protein levels. The Company’s wholly owned, clinical stage pipeline includes targeted protein degraders of Bruton’s tyrosine kinase, a B-cell signaling protein, and inhibitors of Casitas B-lineage lymphoma proto-oncogene B, an E3 ligase that regulates activation of multiple immune cell types including T cells and NK cells. The Company’s partnered drug discovery pipeline consists of multiple programs under collaboration agreements with Gilead Sciences, Inc. (Gilead), Sanofi S.A. (Sanofi) and Seagen Inc. (now a part of Pfizer Inc. (Pfizer)), within which the Company retains certain options for co-development, co-commercialization and profit sharing in the United States for multiple drug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Distribution Agreement</w:t>
      </w:r>
    </w:p>
    <w:p>
      <w:pPr>
        <w:spacing w:after="0" w:line="120"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17"/>
          <w:szCs w:val="17"/>
          <w:color w:val="auto"/>
        </w:rPr>
        <w:t>In August 2021, the Company filed a shelf registration statement on Form S-3 with the Securities and Exchange Commission (SEC), which was amended in February 2023 (the Shelf Registration Statement). The Shelf Registration Statement, which includes a base prospectus, allows the Company at any time to offer and sell up to $450.0 million of the Company’s registered common stock, preferred stock, debt securities, warrants, subscriptions rights and/or units or any combination of securities described in the prospectus in one or more offerings. In addition, in August 2021, the Company entered into an Equity Distribution Agreement with Piper Sandler &amp; Co. (Piper Sandler) pursuant to which, from time to time, the Company may offer and sell through Piper Sandler up to $150.0 million of the common stock registered under the Shelf Registration Statement pursuant to one or more “at the market” offerings.</w:t>
      </w:r>
    </w:p>
    <w:p>
      <w:pPr>
        <w:spacing w:after="0" w:line="82" w:lineRule="exact"/>
        <w:rPr>
          <w:sz w:val="20"/>
          <w:szCs w:val="20"/>
          <w:color w:val="auto"/>
        </w:rPr>
      </w:pPr>
    </w:p>
    <w:p>
      <w:pPr>
        <w:ind w:right="20" w:firstLine="619"/>
        <w:spacing w:after="0" w:line="248" w:lineRule="auto"/>
        <w:rPr>
          <w:sz w:val="20"/>
          <w:szCs w:val="20"/>
          <w:color w:val="auto"/>
        </w:rPr>
      </w:pPr>
      <w:r>
        <w:rPr>
          <w:rFonts w:ascii="Times New Roman" w:cs="Times New Roman" w:eastAsia="Times New Roman" w:hAnsi="Times New Roman"/>
          <w:sz w:val="17"/>
          <w:szCs w:val="17"/>
          <w:color w:val="auto"/>
        </w:rPr>
        <w:t>The Company is not required to sell any shares at any time during the term of the Equity Distribution Agreement. The Company agreed to pay Piper Sandler a commission of 3% of the gross sales price of any shares sold pursuant to the Equity Distribution Agreement. In June 2022, the Company issued and sold 2,000,000 shares of common stock under the Equity Distribution Agreement at a price of $10.00 per share of common stock for net proceeds of $19.3 million after deducting offering commissions and expenses paid by the Company. In May 2024, the Company issued and sold 3,194,809 shares of common stock under the Equity Distribution Agreement at various prices ranging from $15.50 to $16.00 for total net proceeds of $48.5 million, after deducting offering commissions and expenses paid by the Company. As of May 31, 2024, the Company had $79.8 million of common stock remaining available for sale under the Equity Distribution Agreement.</w:t>
      </w:r>
    </w:p>
    <w:p>
      <w:pPr>
        <w:spacing w:after="0" w:line="69"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color w:val="auto"/>
        </w:rPr>
        <w:t>In June 2024, the Company filed an automatic shelf registration statement on Form S-3ASR (the Automatic Shelf Registration Statement). The Automatic Shelf Registration Statement, which includes a base prospectus, allows the Company at any time to offer and sell the Company’s registered common stock, preferred stock, debt securities, warrants, subscriptions rights and/or units or any combination of securities described in the prospectus in one or more offerings. On July 11, 2024, the Company entered into an amendment to the Equity Distribution Agreement, pursuant to which, from time to time, the Company may offer and sell through Piper Sandler up to $150.0 million of common stock registered under the Automatic Shelf Registration Statement pursuant to one or more “at the market” offerings. As of July 11, 2024, the Company had $150.0 million of common stock remaining available for sale under the Equity Distribution Agreement.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Offering</w:t>
      </w:r>
    </w:p>
    <w:p>
      <w:pPr>
        <w:spacing w:after="0" w:line="120"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17"/>
          <w:szCs w:val="17"/>
          <w:color w:val="auto"/>
        </w:rPr>
        <w:t>In April 2024, the Company completed a public offering (2024 Public Offering) made pursuant to the Shelf Registration Statement and issued 11,916,667 shares of common stock (including the exercise by the underwriters of their option to purchase an additional 1,750,000 shares of common stock) at a price to the public of $15.00 per share, and pre-funded warrants to purchase an aggregate of 1,500,100 shares of the Company’s common stock at a price of $14.999 per pre-funded warrant (the 2024 Pre-Funded Warrants). Net proceeds from the 2024 Public Offering were approximately $188.7 million, after deducting offering commissions and expenses of $12.5 million. Refer to Note 7 for more information regarding the 2024 Pre-Funded Warrants.</w:t>
      </w:r>
    </w:p>
    <w:p>
      <w:pPr>
        <w:spacing w:after="0" w:line="200" w:lineRule="exact"/>
        <w:rPr>
          <w:sz w:val="20"/>
          <w:szCs w:val="20"/>
          <w:color w:val="auto"/>
        </w:rPr>
      </w:pPr>
    </w:p>
    <w:p>
      <w:pPr>
        <w:spacing w:after="0" w:line="34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Registered Direct Offerings</w:t>
      </w:r>
    </w:p>
    <w:p>
      <w:pPr>
        <w:spacing w:after="0" w:line="80" w:lineRule="exact"/>
        <w:rPr>
          <w:sz w:val="20"/>
          <w:szCs w:val="20"/>
          <w:color w:val="auto"/>
        </w:rPr>
      </w:pPr>
    </w:p>
    <w:p>
      <w:pPr>
        <w:ind w:right="60" w:firstLine="619"/>
        <w:spacing w:after="0" w:line="214" w:lineRule="exact"/>
        <w:rPr>
          <w:sz w:val="20"/>
          <w:szCs w:val="20"/>
          <w:color w:val="auto"/>
        </w:rPr>
      </w:pPr>
      <w:r>
        <w:rPr>
          <w:rFonts w:ascii="Times New Roman" w:cs="Times New Roman" w:eastAsia="Times New Roman" w:hAnsi="Times New Roman"/>
          <w:sz w:val="17"/>
          <w:szCs w:val="17"/>
          <w:color w:val="auto"/>
        </w:rPr>
        <w:t>In July 2022, the Company entered into separate securities purchase agreements with certain purchasers to issue and sell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funded warrants to purchase an aggregate of 6,814,920 shares of the Company’s common stock in registered direct offerings (RDOs) at a price of $13.939 per pre-funded warrant (the 2022 Pre-Funded Warrants). Net proceeds from the RDOs were $94.8 million, after deducting offering expenses of $0.2 million. Refer to Note 7 for more information regarding the 2022 Pre-Funded Warrants.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Management Plans</w:t>
      </w:r>
    </w:p>
    <w:p>
      <w:pPr>
        <w:spacing w:after="0" w:line="120"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color w:val="auto"/>
        </w:rPr>
        <w:t>The Company’s operations have historically been financed through the issuance of common stock, redeemable convertible preferred stock and pre-funded warrants and proceeds received under the Company’s collaboration and license agreements. Since inception, the Company has generally incurred significant losses and negative net cash flows from operations. The Company does not expect its existing cash, cash equivalents and marketable securities to be sufficient to fund the completion of its clinical trials through commercialization and will need substantial additional funding to support its continuing operations and pursue its long-term business plan. The Company anticipates incurring additional losses until such time, if ever, that it can generate significant sales of its drug candidates currently in development.</w:t>
      </w:r>
    </w:p>
    <w:p>
      <w:pPr>
        <w:spacing w:after="0" w:line="67"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have been prepared assuming that the Company will continue as a going concern. As of May 31, 2024, the Company had cash, cash equivalents and short-term marketable securities of $443.1 million and an accumulated deficit of $631.3 million. Management believes that its cash, cash equivalents and short-term marketable securities are sufficient to continue operating activities for at least 12 months following the issuance date of these condensed consolidated financial statements. Future capital requirements will depend on many factors, including the timing and extent of spending on research and development and payments the Company may receive under its collaboration agreements with Sanofi, Gilead and Pfizer or future collaboration agreements, if any. There can be no assurance that, in the event the Company requires additional financing, such financing will be available at terms acceptable to the Company if at all. If additional capital is not available, failure to generate sufficient cash flows from operations, raise additional capital and reduce discretionary spending could have a material adverse effect on the Company’s ability to achieve its intended business objectives. Management considered whether there are conditions or events that raise substantial doubt about the Company’s ability to continue as a going concern and evaluated the funds necessary to maintain operations. Based on the Company’s current forecast of future operating results, the Company has concluded that its cash, cash equivalents and short-term marketable securities are sufficient to continue operating activities for at least 12 months following the issuance date of these condensed consolidated financial statements.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20"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The Company’s condensed consolidated financial statements have been prepared in accordance with U.S. generally accepted accounting principles (U.S. GAAP) and applicable rules and regulations of the SEC regarding interim financial reporting. The Company’s condensed consolidated financial statements have been prepared on the same basis as the annual financial statements and reflect, in the opinion of management, all adjustments of a normal and recurring nature that are necessary for the fair statement of the Company’s financial position as of and for the three and six months ended May 31, 2024. The condensed consolidated balance sheet as of November 30, 2023, was derived from the audited annual financial statements as of that date. Certain information and footnote disclosures normally included in financial statements prepared in accordance with U.S. GAAP have been condensed or omitted from these interim financial statements. These interim financial statements and related disclosures have been prepared with the presumption that users of the interim financial statements have read or have access to the audited annual financial statements for the preceding fiscal year. Accordingly, these financial statements should be read in conjunction with the audited annual financial statements and notes thereto contained in the Company’s Annual Report on Form 10-K for the year ended November 30, 2023, as filed with the SEC on February 15, 2024. These interim results are not necessarily indicative of results to be expected for the full fiscal year or any future interim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120" w:lineRule="exact"/>
        <w:rPr>
          <w:sz w:val="20"/>
          <w:szCs w:val="20"/>
          <w:color w:val="auto"/>
        </w:rPr>
      </w:pPr>
    </w:p>
    <w:p>
      <w:pPr>
        <w:ind w:right="40" w:firstLine="619"/>
        <w:spacing w:after="0" w:line="271"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include the accounts of the Company and its wholly owned subsidiary. All intercompany balances and transactions have been eliminated in consolidation.</w:t>
      </w:r>
    </w:p>
    <w:p>
      <w:pPr>
        <w:spacing w:after="0" w:line="200" w:lineRule="exact"/>
        <w:rPr>
          <w:sz w:val="20"/>
          <w:szCs w:val="20"/>
          <w:color w:val="auto"/>
        </w:rPr>
      </w:pPr>
    </w:p>
    <w:p>
      <w:pPr>
        <w:spacing w:after="0" w:line="3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20" w:lineRule="exact"/>
        <w:rPr>
          <w:sz w:val="20"/>
          <w:szCs w:val="20"/>
          <w:color w:val="auto"/>
        </w:rPr>
      </w:pPr>
    </w:p>
    <w:p>
      <w:pPr>
        <w:ind w:right="100" w:firstLine="619"/>
        <w:spacing w:after="0" w:line="248"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On an ongoing basis, management evaluates its estimates, including those related to the useful lives of long-lived assets, the measurement of stock-based compensation, accruals for research and development activities, income taxes and revenue recognition. The Company also makes certain commencement date estimates for its leases, including the incremental borrowing rate, the expected lease term and the fair value of the leased asset. The Company bases its estimates on historical experience and on other relevant assumptions that are reasonable under the circumstances. Actual results could materially differ from those estimates. Refer to Note 3 for more information regarding the estimates related to revenue recognition.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w:t>
      </w:r>
    </w:p>
    <w:p>
      <w:pPr>
        <w:spacing w:after="0" w:line="120" w:lineRule="exact"/>
        <w:rPr>
          <w:sz w:val="20"/>
          <w:szCs w:val="20"/>
          <w:color w:val="auto"/>
        </w:rPr>
      </w:pPr>
    </w:p>
    <w:p>
      <w:pPr>
        <w:ind w:right="80" w:firstLine="619"/>
        <w:spacing w:after="0" w:line="254"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 of credit risk consist of cash, cash equivalents and marketable securities. The Company’s marketable securities consist of debt securities issued by the U.S. federal government or state and local governments. The Company’s exposure to any individual corporate entity is limited by policy. Deposits may, at times, exceed federally insured limits. The Company invests its cash equivalents in highly rated money market funds. During the periods presented, the Company has not experienced any losses on its deposits of cash, cash equivalents or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Risks and Uncertainties</w:t>
      </w:r>
    </w:p>
    <w:p>
      <w:pPr>
        <w:spacing w:after="0" w:line="120"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The Company is subject to a number of risks similar to other clinical 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drug candidates, ability to raise additional capital, development of new technological innovations by its competitors and delay or inability to obtain drug substance and finished drug product from the Company’s third-party contract manufacturers necessary for the Company’s drug candidates, protection of intellectual property rights, litigation or claims against the Company based on intellectual property rights and regulatory clearance and market acceptance for any of the Company’s products candidates for which the Company receives marketing approval.</w:t>
      </w:r>
    </w:p>
    <w:p>
      <w:pPr>
        <w:spacing w:after="0" w:line="82"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17"/>
          <w:szCs w:val="17"/>
          <w:color w:val="auto"/>
        </w:rPr>
        <w:t>Moreover, the Company is subject to risks and uncertainties as a result of global business, political and macroeconomic events and conditions, including increasing financial market volatility and uncertainty, inflation, increasing interest rates, uncertainty with respect to the federal budget and debt ceiling and potential government shutdowns related thereto, potential instability in the global banking system, cybersecurity events, the impact of war or military conflict, including regional conflicts around the world, and public health pandemics. The extent to which business, political and macroeconomic factors, including increasing financial market volatility and uncertainty, will impact the Company’s business will depend on future developments that are highly uncertain and cannot be predicted at this time.</w:t>
      </w:r>
    </w:p>
    <w:p>
      <w:pPr>
        <w:spacing w:after="0" w:line="82" w:lineRule="exact"/>
        <w:rPr>
          <w:sz w:val="20"/>
          <w:szCs w:val="20"/>
          <w:color w:val="auto"/>
        </w:rPr>
      </w:pPr>
    </w:p>
    <w:p>
      <w:pPr>
        <w:ind w:right="440" w:firstLine="619"/>
        <w:spacing w:after="0" w:line="254"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generally accepted accounting principles requires management to make estimates and assumptions that affect the amounts reported in the condensed consolidated financial statements and accompanying notes. The extent to which the increasing financial market volatility and uncertainty may directly or indirectly impact the Company’s financial statements is highly uncertain and subject to change.</w:t>
      </w:r>
    </w:p>
    <w:p>
      <w:pPr>
        <w:spacing w:after="0" w:line="76" w:lineRule="exact"/>
        <w:rPr>
          <w:sz w:val="20"/>
          <w:szCs w:val="20"/>
          <w:color w:val="auto"/>
        </w:rPr>
      </w:pPr>
    </w:p>
    <w:p>
      <w:pPr>
        <w:ind w:right="100" w:firstLine="619"/>
        <w:spacing w:after="0" w:line="271" w:lineRule="auto"/>
        <w:rPr>
          <w:sz w:val="20"/>
          <w:szCs w:val="20"/>
          <w:color w:val="auto"/>
        </w:rPr>
      </w:pPr>
      <w:r>
        <w:rPr>
          <w:rFonts w:ascii="Times New Roman" w:cs="Times New Roman" w:eastAsia="Times New Roman" w:hAnsi="Times New Roman"/>
          <w:sz w:val="17"/>
          <w:szCs w:val="17"/>
          <w:color w:val="auto"/>
        </w:rPr>
        <w:t>The Company relies on single source manufacturers and suppliers for the supply of its drug candidates. Disruption from these manufacturers or suppliers would have a negative impact on the Company’s business, financial position and results of operations.</w:t>
      </w:r>
    </w:p>
    <w:p>
      <w:pPr>
        <w:spacing w:after="0" w:line="200" w:lineRule="exact"/>
        <w:rPr>
          <w:sz w:val="20"/>
          <w:szCs w:val="20"/>
          <w:color w:val="auto"/>
        </w:rPr>
      </w:pPr>
    </w:p>
    <w:p>
      <w:pPr>
        <w:spacing w:after="0" w:line="3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20"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The Company determines if an arrangement contains a lease and the classification of the lease at inception. An arrangement contains a lease if there is an identified asset and if the Company controls the use of the identified asset throughout the period of use. The evaluation of whether the lease is an operating or a finance lease requires judgments in determining the fair value of the leased asset. Lease right-of-use (ROU) assets and lease liabilities are recognized at the lease commencement date based on the present value of the future minimum lease payments over the lease term at the commencement date. ROU assets also include any initial direct costs incurred and any lease payments made on or before the lease commencement date, less any lease incentives received. The Company uses its incremental borrowing rate, if an implicit rate is not readily available, and the information available at the date of lease commencement in determining its lease liabilities. The Company’s incremental borrowing rate is based on the rate of interest that the Company would have to pay to borrow on a collateralized basis over a similar term, an amount equal to the lease payments in a similar economic environment, and the determination of the rate requires the Company to make certain assumptions and judgements, including on its synthetic credit rating. Leases may include options to extend or early terminate the lease term. If the Company, using judgement, is reasonably certain that an option will be exercised, then the option will be included in the calculation of the lease term. The Company elected to combine lease and non-lease components for all underlying assets groups, and not recognize ROU assets or lease liabilities for short-term leases. A short-term lease is a lease that, at the commencement date, has a lease term of 12 months or less and does not include an option to purchase the underlying asset that the lessee is reasonably certain to exercise. Lease expense for operating leases is recognized on a straight-line basis over the lease term. The Company does not have any finance leases.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0" w:lineRule="exact"/>
        <w:rPr>
          <w:sz w:val="20"/>
          <w:szCs w:val="20"/>
          <w:color w:val="auto"/>
        </w:rPr>
      </w:pPr>
    </w:p>
    <w:p>
      <w:pPr>
        <w:jc w:val="both"/>
        <w:ind w:right="40" w:firstLine="619"/>
        <w:spacing w:after="0" w:line="254" w:lineRule="auto"/>
        <w:rPr>
          <w:sz w:val="20"/>
          <w:szCs w:val="20"/>
          <w:color w:val="auto"/>
        </w:rPr>
      </w:pPr>
      <w:r>
        <w:rPr>
          <w:rFonts w:ascii="Times New Roman" w:cs="Times New Roman" w:eastAsia="Times New Roman" w:hAnsi="Times New Roman"/>
          <w:sz w:val="17"/>
          <w:szCs w:val="17"/>
          <w:color w:val="auto"/>
        </w:rPr>
        <w:t>The Company recognizes revenue when its customer obtains control of promised goods or services, in an amount that reflects the consideration which the Company expects to receive in exchange for those goods or services. To recognize revenue from a contract with a customer, the Company performs the following five steps:</w:t>
      </w:r>
    </w:p>
    <w:p>
      <w:pPr>
        <w:spacing w:after="0" w:line="76" w:lineRule="exact"/>
        <w:rPr>
          <w:sz w:val="20"/>
          <w:szCs w:val="20"/>
          <w:color w:val="auto"/>
        </w:rPr>
      </w:pPr>
    </w:p>
    <w:p>
      <w:pPr>
        <w:ind w:left="1860" w:hanging="310"/>
        <w:spacing w:after="0"/>
        <w:tabs>
          <w:tab w:leader="none" w:pos="18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the contract(s) with a customer;</w:t>
      </w:r>
    </w:p>
    <w:p>
      <w:pPr>
        <w:spacing w:after="0" w:line="101" w:lineRule="exact"/>
        <w:rPr>
          <w:rFonts w:ascii="Times New Roman" w:cs="Times New Roman" w:eastAsia="Times New Roman" w:hAnsi="Times New Roman"/>
          <w:sz w:val="17"/>
          <w:szCs w:val="17"/>
          <w:color w:val="auto"/>
        </w:rPr>
      </w:pPr>
    </w:p>
    <w:p>
      <w:pPr>
        <w:ind w:left="1860" w:hanging="310"/>
        <w:spacing w:after="0"/>
        <w:tabs>
          <w:tab w:leader="none" w:pos="18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the performance obligations in the contract;</w:t>
      </w:r>
    </w:p>
    <w:p>
      <w:pPr>
        <w:spacing w:after="0" w:line="101" w:lineRule="exact"/>
        <w:rPr>
          <w:rFonts w:ascii="Times New Roman" w:cs="Times New Roman" w:eastAsia="Times New Roman" w:hAnsi="Times New Roman"/>
          <w:sz w:val="17"/>
          <w:szCs w:val="17"/>
          <w:color w:val="auto"/>
        </w:rPr>
      </w:pPr>
    </w:p>
    <w:p>
      <w:pPr>
        <w:ind w:left="1860" w:hanging="310"/>
        <w:spacing w:after="0"/>
        <w:tabs>
          <w:tab w:leader="none" w:pos="18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transaction price;</w:t>
      </w:r>
    </w:p>
    <w:p>
      <w:pPr>
        <w:spacing w:after="0" w:line="113" w:lineRule="exact"/>
        <w:rPr>
          <w:rFonts w:ascii="Times New Roman" w:cs="Times New Roman" w:eastAsia="Times New Roman" w:hAnsi="Times New Roman"/>
          <w:sz w:val="17"/>
          <w:szCs w:val="17"/>
          <w:color w:val="auto"/>
        </w:rPr>
      </w:pPr>
    </w:p>
    <w:p>
      <w:pPr>
        <w:ind w:left="1840" w:hanging="290"/>
        <w:spacing w:after="0"/>
        <w:tabs>
          <w:tab w:leader="none" w:pos="18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 the transaction price to the performance obligations in the contract; and</w:t>
      </w:r>
    </w:p>
    <w:p>
      <w:pPr>
        <w:spacing w:after="0" w:line="101" w:lineRule="exact"/>
        <w:rPr>
          <w:rFonts w:ascii="Times New Roman" w:cs="Times New Roman" w:eastAsia="Times New Roman" w:hAnsi="Times New Roman"/>
          <w:sz w:val="17"/>
          <w:szCs w:val="17"/>
          <w:color w:val="auto"/>
        </w:rPr>
      </w:pPr>
    </w:p>
    <w:p>
      <w:pPr>
        <w:ind w:left="1860" w:hanging="310"/>
        <w:spacing w:after="0"/>
        <w:tabs>
          <w:tab w:leader="none" w:pos="18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 revenue when (or as) the Company satisfies a performance obligation.</w:t>
      </w:r>
    </w:p>
    <w:p>
      <w:pPr>
        <w:spacing w:after="0" w:line="101" w:lineRule="exact"/>
        <w:rPr>
          <w:sz w:val="20"/>
          <w:szCs w:val="20"/>
          <w:color w:val="auto"/>
        </w:rPr>
      </w:pPr>
    </w:p>
    <w:p>
      <w:pPr>
        <w:jc w:val="both"/>
        <w:ind w:right="120" w:firstLine="619"/>
        <w:spacing w:after="0" w:line="262" w:lineRule="auto"/>
        <w:rPr>
          <w:sz w:val="20"/>
          <w:szCs w:val="20"/>
          <w:color w:val="auto"/>
        </w:rPr>
      </w:pPr>
      <w:r>
        <w:rPr>
          <w:rFonts w:ascii="Times New Roman" w:cs="Times New Roman" w:eastAsia="Times New Roman" w:hAnsi="Times New Roman"/>
          <w:sz w:val="17"/>
          <w:szCs w:val="17"/>
          <w:color w:val="auto"/>
        </w:rPr>
        <w:t>At contract inception, the Company assesses the goods or services promised within each contract,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w:t>
      </w:r>
    </w:p>
    <w:p>
      <w:pPr>
        <w:spacing w:after="0" w:line="56" w:lineRule="exact"/>
        <w:rPr>
          <w:sz w:val="20"/>
          <w:szCs w:val="20"/>
          <w:color w:val="auto"/>
        </w:rPr>
      </w:pPr>
    </w:p>
    <w:p>
      <w:pPr>
        <w:ind w:right="60" w:firstLine="619"/>
        <w:spacing w:after="0" w:line="254" w:lineRule="auto"/>
        <w:rPr>
          <w:sz w:val="20"/>
          <w:szCs w:val="20"/>
          <w:color w:val="auto"/>
        </w:rPr>
      </w:pPr>
      <w:r>
        <w:rPr>
          <w:rFonts w:ascii="Times New Roman" w:cs="Times New Roman" w:eastAsia="Times New Roman" w:hAnsi="Times New Roman"/>
          <w:sz w:val="17"/>
          <w:szCs w:val="17"/>
          <w:color w:val="auto"/>
        </w:rPr>
        <w:t>The Company enters into collaboration agreements under which it may obtain upfront payments, milestone payments, royalty payments and other fees. Promises under these arrangements may include research licenses, research services, including selection campaign research services for certain replacement targets, the obligation to share information during the research and the participation of alliance managers and in joint research committees, joint patent committees and joint steering committees. The Company assesses these promises within the context of the agreements to determine the performance obligations.</w:t>
      </w:r>
    </w:p>
    <w:p>
      <w:pPr>
        <w:spacing w:after="0" w:line="71" w:lineRule="exact"/>
        <w:rPr>
          <w:sz w:val="20"/>
          <w:szCs w:val="20"/>
          <w:color w:val="auto"/>
        </w:rPr>
      </w:pPr>
    </w:p>
    <w:p>
      <w:pPr>
        <w:ind w:right="60" w:firstLine="619"/>
        <w:spacing w:after="0" w:line="251" w:lineRule="auto"/>
        <w:rPr>
          <w:sz w:val="20"/>
          <w:szCs w:val="20"/>
          <w:color w:val="auto"/>
        </w:rPr>
      </w:pPr>
      <w:r>
        <w:rPr>
          <w:rFonts w:ascii="Times New Roman" w:cs="Times New Roman" w:eastAsia="Times New Roman" w:hAnsi="Times New Roman"/>
          <w:sz w:val="17"/>
          <w:szCs w:val="17"/>
          <w:i w:val="1"/>
          <w:iCs w:val="1"/>
          <w:color w:val="auto"/>
        </w:rPr>
        <w:t>Exclusive license rights</w:t>
      </w:r>
      <w:r>
        <w:rPr>
          <w:rFonts w:ascii="Times New Roman" w:cs="Times New Roman" w:eastAsia="Times New Roman" w:hAnsi="Times New Roman"/>
          <w:sz w:val="17"/>
          <w:szCs w:val="17"/>
          <w:color w:val="auto"/>
        </w:rPr>
        <w:t>: If a license to the Company’s intellectual property is determined to be distinct from the other promises identified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arrangement, the Company recognizes revenue from nonrefundable, upfront payments allocated to the license when the license is transferred to the customer and the customer is able to use and benefit from the license and the underlying intellectual property. If the license is the predominant promise, and it is determined that the license represents functional intellectual property, revenue is recognized at the point in time when control of the license is transferred. If it is determined that the license does not represent functional intellectual property, revenue is recognized over time using an appropriate method of measuring progress.</w:t>
      </w:r>
    </w:p>
    <w:p>
      <w:pPr>
        <w:spacing w:after="0" w:line="61" w:lineRule="exact"/>
        <w:rPr>
          <w:sz w:val="20"/>
          <w:szCs w:val="20"/>
          <w:color w:val="auto"/>
        </w:rPr>
      </w:pPr>
    </w:p>
    <w:p>
      <w:pPr>
        <w:ind w:right="80" w:firstLine="619"/>
        <w:spacing w:after="0" w:line="251" w:lineRule="auto"/>
        <w:rPr>
          <w:sz w:val="20"/>
          <w:szCs w:val="20"/>
          <w:color w:val="auto"/>
        </w:rPr>
      </w:pPr>
      <w:r>
        <w:rPr>
          <w:rFonts w:ascii="Times New Roman" w:cs="Times New Roman" w:eastAsia="Times New Roman" w:hAnsi="Times New Roman"/>
          <w:sz w:val="17"/>
          <w:szCs w:val="17"/>
          <w:i w:val="1"/>
          <w:iCs w:val="1"/>
          <w:color w:val="auto"/>
        </w:rPr>
        <w:t>Research and collaboration licenses</w:t>
      </w:r>
      <w:r>
        <w:rPr>
          <w:rFonts w:ascii="Times New Roman" w:cs="Times New Roman" w:eastAsia="Times New Roman" w:hAnsi="Times New Roman"/>
          <w:sz w:val="17"/>
          <w:szCs w:val="17"/>
          <w:color w:val="auto"/>
        </w:rPr>
        <w:t>: Collaboration agreements may include research licenses and research and development services to be performed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For research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payments. The Company evaluates the measure of proportional performance each reporting period and, if necessary, adjusts the measure of performance and related revenue recognition.</w:t>
      </w:r>
    </w:p>
    <w:p>
      <w:pPr>
        <w:spacing w:after="0" w:line="200" w:lineRule="exact"/>
        <w:rPr>
          <w:sz w:val="20"/>
          <w:szCs w:val="20"/>
          <w:color w:val="auto"/>
        </w:rPr>
      </w:pPr>
    </w:p>
    <w:p>
      <w:pPr>
        <w:spacing w:after="0" w:line="34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 w:firstLine="619"/>
        <w:spacing w:after="0" w:line="251" w:lineRule="auto"/>
        <w:rPr>
          <w:sz w:val="20"/>
          <w:szCs w:val="20"/>
          <w:color w:val="auto"/>
        </w:rPr>
      </w:pPr>
      <w:r>
        <w:rPr>
          <w:rFonts w:ascii="Times New Roman" w:cs="Times New Roman" w:eastAsia="Times New Roman" w:hAnsi="Times New Roman"/>
          <w:sz w:val="17"/>
          <w:szCs w:val="17"/>
          <w:i w:val="1"/>
          <w:iCs w:val="1"/>
          <w:color w:val="auto"/>
        </w:rPr>
        <w:t>Milestone payments</w:t>
      </w:r>
      <w:r>
        <w:rPr>
          <w:rFonts w:ascii="Times New Roman" w:cs="Times New Roman" w:eastAsia="Times New Roman" w:hAnsi="Times New Roman"/>
          <w:sz w:val="17"/>
          <w:szCs w:val="17"/>
          <w:color w:val="auto"/>
        </w:rPr>
        <w:t>: At the inception of each arrangement that includes research, development or regulatory milestone payments, the Company evaluates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whether the 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amount is included in the transaction price.</w:t>
      </w:r>
    </w:p>
    <w:p>
      <w:pPr>
        <w:spacing w:after="0" w:line="74" w:lineRule="exact"/>
        <w:rPr>
          <w:sz w:val="20"/>
          <w:szCs w:val="20"/>
          <w:color w:val="auto"/>
        </w:rPr>
      </w:pPr>
    </w:p>
    <w:p>
      <w:pPr>
        <w:ind w:right="80" w:firstLine="619"/>
        <w:spacing w:after="0" w:line="255" w:lineRule="auto"/>
        <w:rPr>
          <w:sz w:val="20"/>
          <w:szCs w:val="20"/>
          <w:color w:val="auto"/>
        </w:rPr>
      </w:pPr>
      <w:r>
        <w:rPr>
          <w:rFonts w:ascii="Times New Roman" w:cs="Times New Roman" w:eastAsia="Times New Roman" w:hAnsi="Times New Roman"/>
          <w:sz w:val="17"/>
          <w:szCs w:val="17"/>
          <w:i w:val="1"/>
          <w:iCs w:val="1"/>
          <w:color w:val="auto"/>
        </w:rPr>
        <w:t>Sales-based milestones and royalties</w:t>
      </w:r>
      <w:r>
        <w:rPr>
          <w:rFonts w:ascii="Times New Roman" w:cs="Times New Roman" w:eastAsia="Times New Roman" w:hAnsi="Times New Roman"/>
          <w:sz w:val="17"/>
          <w:szCs w:val="17"/>
          <w:color w:val="auto"/>
        </w:rPr>
        <w:t>: For arrangements that include sales-based milestone or royalty payments based on the level of sales, and in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sales-based milestone or royalty revenue resulting from its collaboration arrangements.</w:t>
      </w:r>
    </w:p>
    <w:p>
      <w:pPr>
        <w:spacing w:after="0" w:line="59" w:lineRule="exact"/>
        <w:rPr>
          <w:sz w:val="20"/>
          <w:szCs w:val="20"/>
          <w:color w:val="auto"/>
        </w:rPr>
      </w:pPr>
    </w:p>
    <w:p>
      <w:pPr>
        <w:ind w:right="20" w:firstLine="619"/>
        <w:spacing w:after="0" w:line="248" w:lineRule="auto"/>
        <w:rPr>
          <w:sz w:val="20"/>
          <w:szCs w:val="20"/>
          <w:color w:val="auto"/>
        </w:rPr>
      </w:pPr>
      <w:r>
        <w:rPr>
          <w:rFonts w:ascii="Times New Roman" w:cs="Times New Roman" w:eastAsia="Times New Roman" w:hAnsi="Times New Roman"/>
          <w:sz w:val="17"/>
          <w:szCs w:val="17"/>
          <w:i w:val="1"/>
          <w:iCs w:val="1"/>
          <w:color w:val="auto"/>
        </w:rPr>
        <w:t>Customer options</w:t>
      </w:r>
      <w:r>
        <w:rPr>
          <w:rFonts w:ascii="Times New Roman" w:cs="Times New Roman" w:eastAsia="Times New Roman" w:hAnsi="Times New Roman"/>
          <w:sz w:val="17"/>
          <w:szCs w:val="17"/>
          <w:color w:val="auto"/>
        </w:rPr>
        <w:t>: Customer options, such as options granted to allow a licensee to extend a license or research term, to select additional research targets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to choose to research, develop and commercialize licensed compounds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As a practical alternative to estimating the standalone selling price of a material right when the underlying goods or services are both (i) similar to the original goods or services in the contract and (ii) provided in accordance with the terms of the original contract, the Company allocates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 If the option does not provide a material right, then the option is considered a marketing offer, which would be accounted for as a separate contract upon exercise.</w:t>
      </w:r>
    </w:p>
    <w:p>
      <w:pPr>
        <w:spacing w:after="0" w:line="68" w:lineRule="exact"/>
        <w:rPr>
          <w:sz w:val="20"/>
          <w:szCs w:val="20"/>
          <w:color w:val="auto"/>
        </w:rPr>
      </w:pPr>
    </w:p>
    <w:p>
      <w:pPr>
        <w:ind w:right="80" w:firstLine="619"/>
        <w:spacing w:after="0" w:line="254" w:lineRule="auto"/>
        <w:rPr>
          <w:sz w:val="20"/>
          <w:szCs w:val="20"/>
          <w:color w:val="auto"/>
        </w:rPr>
      </w:pPr>
      <w:r>
        <w:rPr>
          <w:rFonts w:ascii="Times New Roman" w:cs="Times New Roman" w:eastAsia="Times New Roman" w:hAnsi="Times New Roman"/>
          <w:sz w:val="17"/>
          <w:szCs w:val="17"/>
          <w:color w:val="auto"/>
        </w:rPr>
        <w:t>Deferred revenue, which is a contract liability, represents net amounts received by the Company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performance obligation. The non-current portion of deferred revenue represents amounts to be recognized after one year through the end of the performance period of the performance obligation.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 Not Yet Adopted</w:t>
      </w:r>
    </w:p>
    <w:p>
      <w:pPr>
        <w:spacing w:after="0" w:line="80" w:lineRule="exact"/>
        <w:rPr>
          <w:sz w:val="20"/>
          <w:szCs w:val="20"/>
          <w:color w:val="auto"/>
        </w:rPr>
      </w:pPr>
    </w:p>
    <w:p>
      <w:pPr>
        <w:ind w:firstLine="619"/>
        <w:spacing w:after="0" w:line="212" w:lineRule="exact"/>
        <w:rPr>
          <w:sz w:val="20"/>
          <w:szCs w:val="20"/>
          <w:color w:val="auto"/>
        </w:rPr>
      </w:pPr>
      <w:r>
        <w:rPr>
          <w:rFonts w:ascii="Times New Roman" w:cs="Times New Roman" w:eastAsia="Times New Roman" w:hAnsi="Times New Roman"/>
          <w:sz w:val="17"/>
          <w:szCs w:val="17"/>
          <w:color w:val="auto"/>
        </w:rPr>
        <w:t>In November 2023, the Financial Accounting Standards Board (FASB) issued Accounting Standard Update (ASU) No. 2023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07, Segment Reporting (Topic 280)—Improvements to Reportable Segment Disclosures (ASU 2023-07), which is intended to improve reportable segment disclosure requirements, primarily through enhanced disclosures about significant segment expenses. ASU 2023-07 should be applied on a retrospective basis. ASU 2023-07 is effective for annual periods beginning after December 15, 2023, and interim periods within fiscal years beginning after December 15, 2024. Early adoption is permitted. The Company is in the process of evaluating the impact of this new guidance on its disclosures.</w:t>
      </w:r>
    </w:p>
    <w:p>
      <w:pPr>
        <w:spacing w:after="0" w:line="77"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In December 2023, the FASB issued ASU 2023-09—Income Taxes (Topic 740): Improvements to Income Tax Disclosures (ASU 2023-09), which is intended to enhance the transparency and decision usefulness of income tax disclosures, primarily by amending disclosure requirements for the effective tax rate reconciliation and income taxes paid. ASU 2023-09 should be applied on a prospective basis, and retrospective application is permitted. ASU 2023-09 is effective for annual periods beginning after December 15, 2024. Early adoption is permitted. The Company is in the process of evaluating the impact of this new guidance on its disclosures.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Collaboration Agreements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Gilead</w:t>
      </w:r>
    </w:p>
    <w:p>
      <w:pPr>
        <w:spacing w:after="0" w:line="120"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In June 2019, the Company entered into a global strategic collaboration agreement with Gilead (as subsequently amended, the Gilead Agreement) to discover, develop and commercialize a pipeline of targeted protein degradation drugs for patients with cancer and other challenging diseases using the Company’s DELigase platform to identify novel agents that utilize E3 ligases to induce degradation of five specified drug targets. In August 2019 and September 2022, the Company and Gilead entered into the First Amendment and the Second Amendment, respectively, to the Gilead Agreement to clarify certain language of the Gilead Agreement. These amendments had no impact on revenue recognition. In February and March 2024, as part of the existing collaboration agreement, Gilead elected to extend the five-year initial research term by two years for certain drug targets (Gilead Research Term Extension). The Gilead Research Term Extension triggered a $15.0 million payment that the Company received in the second quarter of fiscal year 2024.</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17"/>
          <w:szCs w:val="17"/>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The Company retains the option to co-develop and co-promote, under a profit share structure, up to two drug candidates in the United States, provided that the Company may only exercise such option once per licensed product and Gilead retains the right to veto the Company’s option selection for any one drug candidate of its choice.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 In March 2023, Gilead exercised the option, which did not represent a material right at contract inception, since it was not offered for free or at a discount, to exclusively license one target (Gilead License Option Exercise), the first development candidate resulting from the Gilead Agreement. Pursuant to the Gilead Agreement, the Company received a license option exercise payment of $20.0 million in April 2023 for the Gilead License Option Exercise. The license to the functional intellectual property and all goods and services related to the Gilead License Option Exercise were transferred during the second quarter of fiscal year 2023.</w:t>
      </w:r>
    </w:p>
    <w:p>
      <w:pPr>
        <w:spacing w:after="0" w:line="72"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Over time, Gilead may elect to replace the initial drug targets with other drug targets. For drug targets that are subject to the collaboration, the Company is obligated to use commercially reasonable efforts to undertake a research program in accordance with a research plan agreed to by the parties and established on a target-by-target basis. The Company has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the Company exercises its co-development and co-promotion option. For those programs that the Company exercises its option to co-develop and co-promote, the Company and Gilead will split U.S. development costs as well as U.S. profits and losses evenly, and the Company will be eligible to receive royalties on net ex-U.S. sales and reduced milestone payments.</w:t>
      </w:r>
    </w:p>
    <w:p>
      <w:pPr>
        <w:spacing w:after="0" w:line="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Upon signing the Gilead Agreement, Gilead paid the Company an upfront payment of $45.0 million plus $3.0 million in additional fees. In addition, from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signing of the Gilead Agreement to May 31, 2024, the Company has received payments of $47.0 million for research milestones and additional payments,</w:t>
      </w:r>
    </w:p>
    <w:p>
      <w:pPr>
        <w:spacing w:after="0"/>
        <w:rPr>
          <w:sz w:val="20"/>
          <w:szCs w:val="20"/>
          <w:color w:val="auto"/>
        </w:rPr>
      </w:pPr>
      <w:r>
        <w:rPr>
          <w:rFonts w:ascii="Times New Roman" w:cs="Times New Roman" w:eastAsia="Times New Roman" w:hAnsi="Times New Roman"/>
          <w:sz w:val="17"/>
          <w:szCs w:val="17"/>
          <w:color w:val="auto"/>
        </w:rPr>
        <w:t>$20.0 million for a license option exercise payment and $15.0 million in research term extension fees. As of May 31, 2024, the Company is eligible to receive 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approximately $1.8 billion in total additional payments, including payments of up to $513.5 million upon the achievement of specified research and</w:t>
      </w:r>
    </w:p>
    <w:p>
      <w:pPr>
        <w:spacing w:after="0" w:line="237" w:lineRule="auto"/>
        <w:rPr>
          <w:sz w:val="20"/>
          <w:szCs w:val="20"/>
          <w:color w:val="auto"/>
        </w:rPr>
      </w:pPr>
      <w:r>
        <w:rPr>
          <w:rFonts w:ascii="Times New Roman" w:cs="Times New Roman" w:eastAsia="Times New Roman" w:hAnsi="Times New Roman"/>
          <w:sz w:val="17"/>
          <w:szCs w:val="17"/>
          <w:color w:val="auto"/>
        </w:rPr>
        <w:t>development milestones, up to $60.0 million in certain additional fees related to target licensing and reservation and up to $1.2 billion upon the achievement of</w:t>
      </w:r>
    </w:p>
    <w:p>
      <w:pPr>
        <w:spacing w:after="0"/>
        <w:rPr>
          <w:sz w:val="20"/>
          <w:szCs w:val="20"/>
          <w:color w:val="auto"/>
        </w:rPr>
      </w:pPr>
      <w:r>
        <w:rPr>
          <w:rFonts w:ascii="Times New Roman" w:cs="Times New Roman" w:eastAsia="Times New Roman" w:hAnsi="Times New Roman"/>
          <w:sz w:val="17"/>
          <w:szCs w:val="17"/>
          <w:color w:val="auto"/>
        </w:rPr>
        <w:t>certain sales milestones. The Company also is eligible to receive mid-single digit to low tens percentage tiered royalties on annual net sales from any commercial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products directed to the optioned collaboration targets, subject to certain reductions and excluding sales in the United States of any products for which the</w:t>
      </w:r>
    </w:p>
    <w:p>
      <w:pPr>
        <w:spacing w:after="0"/>
        <w:rPr>
          <w:sz w:val="20"/>
          <w:szCs w:val="20"/>
          <w:color w:val="auto"/>
        </w:rPr>
      </w:pPr>
      <w:r>
        <w:rPr>
          <w:rFonts w:ascii="Times New Roman" w:cs="Times New Roman" w:eastAsia="Times New Roman" w:hAnsi="Times New Roman"/>
          <w:sz w:val="17"/>
          <w:szCs w:val="17"/>
          <w:color w:val="auto"/>
        </w:rPr>
        <w:t>Company exercises its option to co-develop and co-promote, for which the parties share profits and losses evenly.</w:t>
      </w:r>
    </w:p>
    <w:p>
      <w:pPr>
        <w:spacing w:after="0" w:line="83" w:lineRule="exact"/>
        <w:rPr>
          <w:sz w:val="20"/>
          <w:szCs w:val="20"/>
          <w:color w:val="auto"/>
        </w:rPr>
      </w:pPr>
    </w:p>
    <w:p>
      <w:pPr>
        <w:ind w:right="60" w:firstLine="619"/>
        <w:spacing w:after="0" w:line="248" w:lineRule="auto"/>
        <w:rPr>
          <w:sz w:val="20"/>
          <w:szCs w:val="20"/>
          <w:color w:val="auto"/>
        </w:rPr>
      </w:pPr>
      <w:r>
        <w:rPr>
          <w:rFonts w:ascii="Times New Roman" w:cs="Times New Roman" w:eastAsia="Times New Roman" w:hAnsi="Times New Roman"/>
          <w:sz w:val="17"/>
          <w:szCs w:val="17"/>
          <w:color w:val="auto"/>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the Company’s exercise of its option to co-develop and co-promote such licensed product. If Gilead does not exercise an option to license a drug candidate, then the Gilead Agreement will terminate at the end of the last to expire option period.</w:t>
      </w:r>
    </w:p>
    <w:p>
      <w:pPr>
        <w:spacing w:after="0" w:line="81" w:lineRule="exact"/>
        <w:rPr>
          <w:sz w:val="20"/>
          <w:szCs w:val="20"/>
          <w:color w:val="auto"/>
        </w:rPr>
      </w:pPr>
    </w:p>
    <w:p>
      <w:pPr>
        <w:ind w:right="80" w:firstLine="619"/>
        <w:spacing w:after="0" w:line="244" w:lineRule="auto"/>
        <w:rPr>
          <w:sz w:val="20"/>
          <w:szCs w:val="20"/>
          <w:color w:val="auto"/>
        </w:rPr>
      </w:pPr>
      <w:r>
        <w:rPr>
          <w:rFonts w:ascii="Times New Roman" w:cs="Times New Roman" w:eastAsia="Times New Roman" w:hAnsi="Times New Roman"/>
          <w:sz w:val="17"/>
          <w:szCs w:val="17"/>
          <w:color w:val="auto"/>
        </w:rPr>
        <w:t>The Company identified the following promises in the Gilead Agreement: (1) the research licenses, (2) the research services, including selection campaign research services for certain replacement targets, (3) the obligation to share information during the research term and (4) the participation in the joint research committee and joint steering committee. The Company determined that the research licenses, the obligation to share information and the participation in joint committees are not capable of being distinct from the research services due to the specialized nature of the research services to be provided by the Company, and, accordingly, the promises identified were combined as one single performance obligation. The Company also concluded that, at the inception of the Gilead Agreement, Gilead’s options to obtain an exclusive development, manufacturing and commercialization license for each collaboration target, to extend the five-year research term and to perform selection campaign research services for certain replacement targets do not represent material rights and are not considered performance obligations because they do not contain a significant and incremental discount. The Company concluded that Gilead’s target reservation right is not a performance obligation as it does not require any specific action from the Company and it is rather an exclusivity right and an attribute of other performance obligations in the Gilead Agreement, such as the research licenses.</w:t>
      </w:r>
    </w:p>
    <w:p>
      <w:pPr>
        <w:spacing w:after="0" w:line="200" w:lineRule="exact"/>
        <w:rPr>
          <w:sz w:val="20"/>
          <w:szCs w:val="20"/>
          <w:color w:val="auto"/>
        </w:rPr>
      </w:pPr>
    </w:p>
    <w:p>
      <w:pPr>
        <w:spacing w:after="0" w:line="3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In order to determine the transaction price, the Company evaluated all the payments to be received during the duration of the contract. Certain milestone payments and additional fees were considered variable consideration, which were not included in the transaction price based on the most likely amount method as of May 31, 2024. The Company re-evaluates the transaction price in each reporting period and as uncertain events are resolved or other changes in circumstances occur. The Company determined that the transaction price at the inception of the initial research term consisted of the upfront payment of $45.0 million and $3.0 million in additional fees. Upon the achievement of research milestones and additional fees related to target reservations, $47.0 million in variable consideration was added to the transaction price, and a cumulative effect was recorded as revenue in the period the transaction price increased. The transaction price is recognized as collaboration revenue using the cost-based input method over the estimated initial research term of five years, which represents the estimated timing of completion of the identified deliverables. Additionally, the Company considered the impact of Gilead terminating the Gilead Agreement prior to the completion of the research services during the five-year initial research term and determined that there were significant economic costs to Gilead for doing so, and as such, did not adjust the contract term. The Gilead Research Term Extension, which has a term of two years and did not represent a material right at the inception of the Gilead Agreement, because it does not contain a significant and incremental discount, will be accounted for as a separate contract commencing in June 2024.</w:t>
      </w:r>
    </w:p>
    <w:p>
      <w:pPr>
        <w:spacing w:after="0" w:line="87" w:lineRule="exact"/>
        <w:rPr>
          <w:sz w:val="20"/>
          <w:szCs w:val="20"/>
          <w:color w:val="auto"/>
        </w:rPr>
      </w:pPr>
    </w:p>
    <w:p>
      <w:pPr>
        <w:ind w:right="120" w:firstLine="619"/>
        <w:spacing w:after="0" w:line="249" w:lineRule="auto"/>
        <w:rPr>
          <w:sz w:val="20"/>
          <w:szCs w:val="20"/>
          <w:color w:val="auto"/>
        </w:rPr>
      </w:pPr>
      <w:r>
        <w:rPr>
          <w:rFonts w:ascii="Times New Roman" w:cs="Times New Roman" w:eastAsia="Times New Roman" w:hAnsi="Times New Roman"/>
          <w:sz w:val="17"/>
          <w:szCs w:val="17"/>
          <w:color w:val="auto"/>
        </w:rPr>
        <w:t>Using the cost-based input method, which the Company determined most faithfully depicts the transfer of its performance obligation to Gilead, the Company recognizes revenue based on actual costs incurred as a percentage of total estimated costs as the Company completes its performance obligation under the contract. Costs consist primarily of internal full-time employee (FTE) and third-party contract costs related to the Gilead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69" w:lineRule="exact"/>
        <w:rPr>
          <w:sz w:val="20"/>
          <w:szCs w:val="20"/>
          <w:color w:val="auto"/>
        </w:rPr>
      </w:pPr>
    </w:p>
    <w:p>
      <w:pPr>
        <w:ind w:right="260" w:firstLine="619"/>
        <w:spacing w:after="0" w:line="250" w:lineRule="auto"/>
        <w:rPr>
          <w:sz w:val="20"/>
          <w:szCs w:val="20"/>
          <w:color w:val="auto"/>
        </w:rPr>
      </w:pPr>
      <w:r>
        <w:rPr>
          <w:rFonts w:ascii="Times New Roman" w:cs="Times New Roman" w:eastAsia="Times New Roman" w:hAnsi="Times New Roman"/>
          <w:sz w:val="17"/>
          <w:szCs w:val="17"/>
          <w:color w:val="auto"/>
        </w:rPr>
        <w:t>For the three and six months ended May 31, 2024, the Company recognized collaboration revenue related to the Gilead Agreement of $4.9 million and $9.5 million, respectively, all of which was included in deferred revenue as of November 30, 2023. For the three and six months ended May 31, 2023, the Company recognized collaboration revenue related to the Gilead Agreement of $5.7 million and $13.1 million, respectively, of which $5.7 million and</w:t>
      </w:r>
    </w:p>
    <w:p>
      <w:pPr>
        <w:jc w:val="both"/>
        <w:ind w:right="80"/>
        <w:spacing w:after="0" w:line="246" w:lineRule="auto"/>
        <w:rPr>
          <w:sz w:val="20"/>
          <w:szCs w:val="20"/>
          <w:color w:val="auto"/>
        </w:rPr>
      </w:pPr>
      <w:r>
        <w:rPr>
          <w:rFonts w:ascii="Times New Roman" w:cs="Times New Roman" w:eastAsia="Times New Roman" w:hAnsi="Times New Roman"/>
          <w:sz w:val="17"/>
          <w:szCs w:val="17"/>
          <w:color w:val="auto"/>
        </w:rPr>
        <w:t>$8.5 million, respectively, was included in deferred revenue as of November 30, 2022, and zero and $4.1 million, respectively, was related to activities satisfied in previous periods. The Company also recognized $20.0 million in license revenue received pursuant to the Gilead License Option Exercise during the three and six months ended May 31, 2023. As of May 31, 2024, deferred revenue related to the Gilead Agreement was $15.5 million, of which $9.0 million was current. As of November 30, 2023, deferred revenue related to the Gilead Agreement was $10.0 million, all of which was current.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Sanofi</w:t>
      </w:r>
    </w:p>
    <w:p>
      <w:pPr>
        <w:spacing w:after="0" w:line="120"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17"/>
          <w:szCs w:val="17"/>
          <w:color w:val="auto"/>
        </w:rPr>
        <w:t>In December 2019, the Company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the Company’s DELigase platform to identify small molecules designed to induce degradation of three specified initial drug targets. In January 2021, as part of the existing Sanofi Agreement, Sanofi paid the Company $22.0 million to exercise its option to expand the number of targets in the Sanofi Agreement from three to a total of five targets.</w:t>
      </w:r>
    </w:p>
    <w:p>
      <w:pPr>
        <w:spacing w:after="0" w:line="69"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In January 2021, the Company and Sanofi entered into the First Amendment to the Sanofi Agreement to modify the research term on all targets (the First Sanofi Amendment). In December 2021, the Company and Sanofi entered into the Second Amendment to the Sanofi Agreement to extend the substitution deadline on certain targets. In July 2022, the Company and Sanofi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and November 2023, the Company and Sanofi entered into the Fourth Amendment and Fifth Amendment, respectively, to the Sanofi Agreement to modify the research plan for certain targets, which had no impact on revenue recognition. In March 2024, the Company and Sanofi entered into the Sixth Amendment to the Sanofi Agreement to extend the research term for the collaboration target STAT6 (signal transducer and activator of transcription 6), a key drug target in type 2 inflammation, by two years (the Sixth Sanofi Amendment), which is expected to increase overall forecasted costs and have an impact on revenue recognition.</w:t>
      </w:r>
    </w:p>
    <w:p>
      <w:pPr>
        <w:spacing w:after="0" w:line="200" w:lineRule="exact"/>
        <w:rPr>
          <w:sz w:val="20"/>
          <w:szCs w:val="20"/>
          <w:color w:val="auto"/>
        </w:rPr>
      </w:pPr>
    </w:p>
    <w:p>
      <w:pPr>
        <w:spacing w:after="0" w:line="34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17"/>
          <w:szCs w:val="17"/>
          <w:color w:val="auto"/>
        </w:rPr>
        <w:t>Under the Sanofi Agreement, Sanofi has exclusive rights and is responsible for the clinical development, commercialization and manufacture of drug candidates resulting from the collaboration while the Company retains the option to co-develop, co-promote and co-commercialize all drug candidates in the United States directed to up to two targets, one of which must be selected from a list of targets designated at the execution of the Sanofi Agreement or any replacement of such targets, and one of which must be selected from targets identified by Sanofi as part of their January 2021 expansion. The Company’s right to exercise its option to co-develop, co-promote and co-commercialize a given target is dependent on its ability to demonstrate, within a given timeframe, that it has sufficient cash resources and personnel to commercialize the product. The collaboration excludes the Company’s current internal protein degradation programs for which it retains all rights, and also excludes future internal programs, provided that the Company distinguished future programs as excluded from the scope of the collaboration.</w:t>
      </w:r>
    </w:p>
    <w:p>
      <w:pPr>
        <w:spacing w:after="0" w:line="86"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For drug targets that are subject to the collaboration, the Company has primary responsibility for conducting preclinical research activities (including target validation, drug discovery, identification or synthesis) in accordance with the applicable research plan agreed to by the parties and established on a target-by-target basis. The Company is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the Company exercises its co-development and co-promotion option. For those programs that the Company exercises its option to co-develop, co-promote and co-commercialize, the Company will be responsible for a portion of the U.S. development costs, and the parties will split U.S. profits and losses evenly and the Company will be eligible to receive royalties on ex-U.S. net sales and reduced milestone payments on such optioned products.</w:t>
      </w:r>
    </w:p>
    <w:p>
      <w:pPr>
        <w:spacing w:after="0" w:line="73"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Upon signing the Sanofi Agreement, Sanofi paid the Company an upfront payment of $55.0 million. Subsequently, in January 2021, Sanofi paid the Company an additional $22.0 million to exercise its option to expand the number of targets beyond the initial targets included in the collaboration. In addition, from the signing of the Sanofi Agreement to May 31, 2024, the Company has received payments of $13.0 million for research milestones. As of May 31, 2024, the Company is eligible to receive up to approximately $2.4 billion in total additional payments, including payments of up to $487.0 million upon the achievement of specified research and development milestones, up to $78.5 million in certain additional fees related to target licensing and reservation, up to $625.0 million upon the achievement of specified regulatory milestones and up to $1.3 billion upon the achievement of certain sales milestones. The Company is also eligible to receive mid-single digit to low teen percentage tiered royalties on annual net sales of any commercial products that may result from the collaboration, subject to certain reductions and excluding sales in the United States of any products for which the Company exercises its option to co-develop and co-promote, for which the parties share profits and losses evenly.</w:t>
      </w:r>
    </w:p>
    <w:p>
      <w:pPr>
        <w:spacing w:after="0" w:line="72" w:lineRule="exact"/>
        <w:rPr>
          <w:sz w:val="20"/>
          <w:szCs w:val="20"/>
          <w:color w:val="auto"/>
        </w:rPr>
      </w:pPr>
    </w:p>
    <w:p>
      <w:pPr>
        <w:ind w:right="160" w:firstLine="619"/>
        <w:spacing w:after="0" w:line="254" w:lineRule="auto"/>
        <w:rPr>
          <w:sz w:val="20"/>
          <w:szCs w:val="20"/>
          <w:color w:val="auto"/>
        </w:rPr>
      </w:pPr>
      <w:r>
        <w:rPr>
          <w:rFonts w:ascii="Times New Roman" w:cs="Times New Roman" w:eastAsia="Times New Roman" w:hAnsi="Times New Roman"/>
          <w:sz w:val="17"/>
          <w:szCs w:val="17"/>
          <w:color w:val="auto"/>
        </w:rPr>
        <w:t>Subject to earlier expiration in certain circumstances, the Sanofi Agreement expires on a licensed product-by-licensed product or profit-shared licensed product-by-profit-shared licensed product basis and country-by-country basis upon on the later of (1) the expiration of the last-to-expire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Sanofi Agreement.</w:t>
      </w:r>
    </w:p>
    <w:p>
      <w:pPr>
        <w:spacing w:after="0" w:line="75" w:lineRule="exact"/>
        <w:rPr>
          <w:sz w:val="20"/>
          <w:szCs w:val="20"/>
          <w:color w:val="auto"/>
        </w:rPr>
      </w:pPr>
    </w:p>
    <w:p>
      <w:pPr>
        <w:ind w:right="40" w:firstLine="619"/>
        <w:spacing w:after="0" w:line="245" w:lineRule="auto"/>
        <w:rPr>
          <w:sz w:val="20"/>
          <w:szCs w:val="20"/>
          <w:color w:val="auto"/>
        </w:rPr>
      </w:pPr>
      <w:r>
        <w:rPr>
          <w:rFonts w:ascii="Times New Roman" w:cs="Times New Roman" w:eastAsia="Times New Roman" w:hAnsi="Times New Roman"/>
          <w:sz w:val="17"/>
          <w:szCs w:val="17"/>
          <w:color w:val="auto"/>
        </w:rPr>
        <w:t>The Company identified the following promises in the Sanofi Agreement: (1) the research licenses, (2) the research services, (3) the obligation to share information during the research term and (4) the participation of alliance managers in the joint research committee and joint patent committee. The Company determined that the research licenses, the obligation to share information and the participation in the joint committees are not capable of being distinct from the research services due to the specialized nature of the research services to be provided by the Company, and, accordingly, the promises identified were combined as one single performance obligation. The Company also determined that Sanofi’s exclusive right to add up to two additional targets constitutes a material right as it represents a significant and incremental discount that Sanofi would not have received without entering into the Sanofi Agreement. The option to extend the license term does not represent a material right because it does not contain a significant and incremental discount.</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17"/>
          <w:szCs w:val="17"/>
          <w:color w:val="auto"/>
        </w:rPr>
        <w:t>In order to determine the transaction price, the Company evaluated all the payments to be received during the duration of the contract. Certain milestone payments and additional fees were considered variable consideration, which were not included in the transaction price based on the most likely amount method as of May 31, 2024. The Company re-evaluates the transaction price in each reporting period and as uncertain events are resolved or other changes in circumstances occur. At the inception of the Sanofi Agreement, the Company determined that the transaction price consisted of the upfront payment of $55.0 million for three initial drug targets and $22.0 million for two additional targets. Subsequently, upon the achievement of research milestones, $13.0 million in variable consideration was added to the transaction price, and a cumulative effect was recorded as revenue in the period the transaction price increased. Revenue is recognized using the cost-based input method over the research term of 4.25 years, the revised research period that was agreed to in January 2021 in the First Sanofi Amendment for certain targets, and 5.25 years, the revised research period due to the target substitutions in July 2022, for certain other targets. The research period for STAT6 was extended as part of the Sixth Sanofi Amendment and a cumulative effect was recorded in the second quarter of fiscal year 2024.</w:t>
      </w:r>
    </w:p>
    <w:p>
      <w:pPr>
        <w:spacing w:after="0" w:line="72"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Using the cost-based input method, which the Company determined most faithfully depicts the transfer of its performance obligation to Sanofi, the Company recognizes revenue based on actual costs incurred as a percentage of total estimated costs as the Company completes its performance obligation under the contract. Costs consist primarily of internal FTE and third-party contract costs related to the Sanofi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82" w:lineRule="exact"/>
        <w:rPr>
          <w:sz w:val="20"/>
          <w:szCs w:val="20"/>
          <w:color w:val="auto"/>
        </w:rPr>
      </w:pPr>
    </w:p>
    <w:p>
      <w:pPr>
        <w:ind w:right="260" w:firstLine="619"/>
        <w:spacing w:after="0" w:line="246" w:lineRule="auto"/>
        <w:rPr>
          <w:sz w:val="20"/>
          <w:szCs w:val="20"/>
          <w:color w:val="auto"/>
        </w:rPr>
      </w:pPr>
      <w:r>
        <w:rPr>
          <w:rFonts w:ascii="Times New Roman" w:cs="Times New Roman" w:eastAsia="Times New Roman" w:hAnsi="Times New Roman"/>
          <w:sz w:val="17"/>
          <w:szCs w:val="17"/>
          <w:color w:val="auto"/>
        </w:rPr>
        <w:t>For the three and six months ended May 31, 2024, the Company recognized collaboration revenue related to the Sanofi Agreement of $2.0 million and $10.3 million, respectively, of which $2.0 million and $8.8 million, respectively, was included in deferred revenue as of November 30, 2023, and zero and $1.2 million, respectively, was related to activities satisfied in previous periods. For the three and six months ended May 31, 2023, the Company recognized collaboration revenue related to the Sanofi Agreement of $5.0 million and $10.3 million, respectively, of which $5.0 million and $9.8 million, respectively, was included in deferred revenue as of November 30, 2022, and zero and $0.4 million, respectively, was related to activities satisfied in previous periods. As of May 31, 2024, deferred revenue related to the Sanofi Agreement was $20.5 million, of which $20.4 million was current. As of November 30, 2023, deferred revenue related to the Sanofi Agreement was $24.9 million, of which $20.3 million was current, and included $4.0 million in contract assets representing the unbilled amount related to the research milestone achieved in November 2023.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Pfizer</w:t>
      </w:r>
    </w:p>
    <w:p>
      <w:pPr>
        <w:spacing w:after="0" w:line="120"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In September 2023, the Company entered into a strategic collaboration with Seagen Inc. (now a part of Pfizer Inc.) (the Pfizer Agreement) to develop a suite of targeted protein degraders against multiple targets nominated by Pfizer that are suitable for antibody conjugation. Pfizer will be responsible for conjugating these degraders to antibodies to make Degrader-Antibody Conjugates (DACs), a new class of medicines for use in cancer treatment, and advancing these DAC drug candidates through preclinical and clinical development and commercialization.</w:t>
      </w:r>
    </w:p>
    <w:p>
      <w:pPr>
        <w:spacing w:after="0" w:line="75" w:lineRule="exact"/>
        <w:rPr>
          <w:sz w:val="20"/>
          <w:szCs w:val="20"/>
          <w:color w:val="auto"/>
        </w:rPr>
      </w:pPr>
    </w:p>
    <w:p>
      <w:pPr>
        <w:jc w:val="both"/>
        <w:ind w:right="460" w:firstLine="619"/>
        <w:spacing w:after="0" w:line="254" w:lineRule="auto"/>
        <w:rPr>
          <w:sz w:val="20"/>
          <w:szCs w:val="20"/>
          <w:color w:val="auto"/>
        </w:rPr>
      </w:pPr>
      <w:r>
        <w:rPr>
          <w:rFonts w:ascii="Times New Roman" w:cs="Times New Roman" w:eastAsia="Times New Roman" w:hAnsi="Times New Roman"/>
          <w:sz w:val="17"/>
          <w:szCs w:val="17"/>
          <w:color w:val="auto"/>
        </w:rPr>
        <w:t>Under the Pfizer Agreement, Pfizer has the option to obtain exclusive licenses to develop and commercialize certain degraders, while the Company retains an option for U.S. profit sharing and co-promotion on two products arising from the collaboration.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w:t>
      </w:r>
    </w:p>
    <w:p>
      <w:pPr>
        <w:spacing w:after="0" w:line="62"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For the targets nominated by Pfizer under the collaboration, the Company shall use commercially reasonable efforts to identify, synthesize, characterize and deliver targeted protein degraders that selectively bind to and degrade such targets. Development of licensed degraders, with the exception of licensed products for which the Company exercises its profit-share options, will be at Pfizer’s sole cost and expense. For the profit-share products, the parties will share net profits and net losses and global development costs, and the Company will be eligible to receive royalty and milestone payments on such optioned products.</w:t>
      </w:r>
    </w:p>
    <w:p>
      <w:pPr>
        <w:spacing w:after="0" w:line="62" w:lineRule="exact"/>
        <w:rPr>
          <w:sz w:val="20"/>
          <w:szCs w:val="20"/>
          <w:color w:val="auto"/>
        </w:rPr>
      </w:pPr>
    </w:p>
    <w:p>
      <w:pPr>
        <w:ind w:right="360" w:firstLine="619"/>
        <w:spacing w:after="0" w:line="250" w:lineRule="auto"/>
        <w:rPr>
          <w:sz w:val="20"/>
          <w:szCs w:val="20"/>
          <w:color w:val="auto"/>
        </w:rPr>
      </w:pPr>
      <w:r>
        <w:rPr>
          <w:rFonts w:ascii="Times New Roman" w:cs="Times New Roman" w:eastAsia="Times New Roman" w:hAnsi="Times New Roman"/>
          <w:sz w:val="17"/>
          <w:szCs w:val="17"/>
          <w:color w:val="auto"/>
        </w:rPr>
        <w:t>Under the terms of the Pfizer Agreement, the Company received an upfront payment of $60.0 million. In addition, the Company achieved a research milestone in May 2024 and expects to receive a payment of $5.0 million in the third quarter of fiscal year 2024. The Company is eligible to receive up to approximately $3.4 billion in contingent payments across multiple programs, including payments of up to $631.0 million upon the achievement of specified research and development milestones, up to $19.5 million in certain additional fees related to target licensing and reservation, up to $873.0 million upon the achievement of specified regulatory milestones and up to $1.8 billion upon the achievement of certain sales milestones. The Company is also eligible for mid-single to low double digit percentage tiered royalties on future sales.</w:t>
      </w:r>
    </w:p>
    <w:p>
      <w:pPr>
        <w:spacing w:after="0" w:line="200" w:lineRule="exact"/>
        <w:rPr>
          <w:sz w:val="20"/>
          <w:szCs w:val="20"/>
          <w:color w:val="auto"/>
        </w:rPr>
      </w:pPr>
    </w:p>
    <w:p>
      <w:pPr>
        <w:spacing w:after="0" w:line="34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firstLine="619"/>
        <w:spacing w:after="0" w:line="262" w:lineRule="auto"/>
        <w:rPr>
          <w:sz w:val="20"/>
          <w:szCs w:val="20"/>
          <w:color w:val="auto"/>
        </w:rPr>
      </w:pPr>
      <w:r>
        <w:rPr>
          <w:rFonts w:ascii="Times New Roman" w:cs="Times New Roman" w:eastAsia="Times New Roman" w:hAnsi="Times New Roman"/>
          <w:sz w:val="17"/>
          <w:szCs w:val="17"/>
          <w:color w:val="auto"/>
        </w:rPr>
        <w:t>Subject to the exceptions described in the Pfizer Agreement, the Pfizer Agreement expires upon the first to occur of (1) the expiration of the last-to-expire option exercise period under the Pfizer Agreement if no such option has been exercised prior to such expiration and (2) the expiration of the last-to-expire royalty term under the Pfizer Agreement.</w:t>
      </w:r>
    </w:p>
    <w:p>
      <w:pPr>
        <w:spacing w:after="0" w:line="56" w:lineRule="exact"/>
        <w:rPr>
          <w:sz w:val="20"/>
          <w:szCs w:val="20"/>
          <w:color w:val="auto"/>
        </w:rPr>
      </w:pPr>
    </w:p>
    <w:p>
      <w:pPr>
        <w:ind w:right="160" w:firstLine="619"/>
        <w:spacing w:after="0" w:line="246" w:lineRule="auto"/>
        <w:rPr>
          <w:sz w:val="20"/>
          <w:szCs w:val="20"/>
          <w:color w:val="auto"/>
        </w:rPr>
      </w:pPr>
      <w:r>
        <w:rPr>
          <w:rFonts w:ascii="Times New Roman" w:cs="Times New Roman" w:eastAsia="Times New Roman" w:hAnsi="Times New Roman"/>
          <w:sz w:val="17"/>
          <w:szCs w:val="17"/>
          <w:color w:val="auto"/>
        </w:rPr>
        <w:t>The Company identified the following promises in the Pfizer Agreement: (1) the research licenses, (2) the research services, (3) the participation of a gatekeeper and an alliance managers and the participation in various joint committees, and (4) the obligation to share information during the research term. The Company determined that the research licenses, the participation in the joint committees and the obligation to share information are not capable of being distinct from the research services, and, accordingly, the identified promises were combined as one single performance obligation. The Company also determined that, at the inception of the Pfizer Agreement, Pfizer’s options to obtain an exclusive development, manufacturing and commercialization license for each collaboration target and to extend the four-year research term do not represent material rights and are not considered performance obligations because they do not contain a significant and incremental discount. Additionally, Pfizer’s target reservation right is not a performance obligation as it is an exclusivity right and an attribute of other performance obligations in the Pfizer Agreement, such as the research licenses, and does not require any specific actions from the Company.</w:t>
      </w:r>
    </w:p>
    <w:p>
      <w:pPr>
        <w:spacing w:after="0" w:line="86" w:lineRule="exact"/>
        <w:rPr>
          <w:sz w:val="20"/>
          <w:szCs w:val="20"/>
          <w:color w:val="auto"/>
        </w:rPr>
      </w:pPr>
    </w:p>
    <w:p>
      <w:pPr>
        <w:ind w:right="100" w:firstLine="619"/>
        <w:spacing w:after="0" w:line="245" w:lineRule="auto"/>
        <w:rPr>
          <w:sz w:val="20"/>
          <w:szCs w:val="20"/>
          <w:color w:val="auto"/>
        </w:rPr>
      </w:pPr>
      <w:r>
        <w:rPr>
          <w:rFonts w:ascii="Times New Roman" w:cs="Times New Roman" w:eastAsia="Times New Roman" w:hAnsi="Times New Roman"/>
          <w:sz w:val="17"/>
          <w:szCs w:val="17"/>
          <w:color w:val="auto"/>
        </w:rPr>
        <w:t>In order to determine the transaction price, the Company evaluated all the payments to be received during the duration of the contract. Milestone payments and additional fees were considered variable consideration, which were not included in the transaction price based on the most likely amount method as of May 31, 2024. The Company re-evaluates the transaction price in each reporting period and as uncertain events are resolved or other changes in circumstances occur. The Company determined that the transaction price at the inception of the Pfizer Agreement consisted of the upfront payment of $60.0 million. Subsequently, upon the achievement of a research milestone, $5.0 million in variable consideration was added to the transaction price and a cumulative effect was recorded as revenue in the period the transaction price increased. The transaction price is recognized as collaboration revenue using the cost-based input method over the estimated research term of four years, which represents the estimated period to complete the identified deliverables. Additionally, the Company considered the impact of Pfizer terminating the Pfizer Agreement prior to the completion of the research services during the initial four-year research term and determined that there were significant economic costs to Pfizer for doing so, and as such, did not adjust the contract term.</w:t>
      </w:r>
    </w:p>
    <w:p>
      <w:pPr>
        <w:spacing w:after="0" w:line="86"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17"/>
          <w:szCs w:val="17"/>
          <w:color w:val="auto"/>
        </w:rPr>
        <w:t>Using the cost-based input method, which the Company determined most faithfully depicts the transfer of its performance obligation to Pfizer, the Company recognizes revenue based on actual costs incurred as a percentage of total estimated costs as the Company completes its performance obligation under the contract. Costs consist primarily of internal FTE and third-party contract costs related to the Pfizer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69" w:lineRule="exact"/>
        <w:rPr>
          <w:sz w:val="20"/>
          <w:szCs w:val="20"/>
          <w:color w:val="auto"/>
        </w:rPr>
      </w:pPr>
    </w:p>
    <w:p>
      <w:pPr>
        <w:ind w:right="220" w:firstLine="619"/>
        <w:spacing w:after="0" w:line="253" w:lineRule="auto"/>
        <w:rPr>
          <w:sz w:val="20"/>
          <w:szCs w:val="20"/>
          <w:color w:val="auto"/>
        </w:rPr>
      </w:pPr>
      <w:r>
        <w:rPr>
          <w:rFonts w:ascii="Times New Roman" w:cs="Times New Roman" w:eastAsia="Times New Roman" w:hAnsi="Times New Roman"/>
          <w:sz w:val="17"/>
          <w:szCs w:val="17"/>
          <w:color w:val="auto"/>
        </w:rPr>
        <w:t>For the three and six months ended May 31, 2024, the Company recognized collaboration revenue related to the Pfizer Agreement of $5.2 million and $8.9 million, respectively, of which $4.4 million and $8.1 million, respectively, was included in deferred revenue as of November 30, 2023 and $0.5 million and $0.1 million, respectively, was related to activities satisfied in previous periods. As of May 31, 2024, deferred revenue related to the Pfizer Agreement was $54.4 million, of which $22.3 million was current. As of November 30, 2023, deferred revenue related to the Pfizer Agreement was $58.3 million, of which $17.9 million was current.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Condensed Consolidated Balance Sheet Components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Property and equipment, net, consisted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260" w:type="dxa"/>
            <w:vAlign w:val="bottom"/>
          </w:tcPr>
          <w:p>
            <w:pPr>
              <w:spacing w:after="0"/>
              <w:rPr>
                <w:sz w:val="14"/>
                <w:szCs w:val="14"/>
                <w:color w:val="auto"/>
              </w:rPr>
            </w:pPr>
          </w:p>
        </w:tc>
        <w:tc>
          <w:tcPr>
            <w:tcW w:w="13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4620" w:type="dxa"/>
            <w:vAlign w:val="bottom"/>
            <w:tcBorders>
              <w:bottom w:val="single" w:sz="8" w:color="CCEEFF"/>
            </w:tcBorders>
          </w:tcPr>
          <w:p>
            <w:pPr>
              <w:spacing w:after="0"/>
              <w:rPr>
                <w:sz w:val="3"/>
                <w:szCs w:val="3"/>
                <w:color w:val="auto"/>
              </w:rPr>
            </w:pPr>
          </w:p>
        </w:tc>
        <w:tc>
          <w:tcPr>
            <w:tcW w:w="33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Laboratory equipment</w:t>
            </w:r>
          </w:p>
        </w:tc>
        <w:tc>
          <w:tcPr>
            <w:tcW w:w="3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37,130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32,239</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3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33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3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Software</w:t>
            </w:r>
          </w:p>
        </w:tc>
        <w:tc>
          <w:tcPr>
            <w:tcW w:w="33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5,403</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in progress</w:t>
            </w:r>
          </w:p>
        </w:tc>
        <w:tc>
          <w:tcPr>
            <w:tcW w:w="3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property and equipment, gross</w:t>
            </w:r>
          </w:p>
        </w:tc>
        <w:tc>
          <w:tcPr>
            <w:tcW w:w="33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48,265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43,057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3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(29,708)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(26,249)</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3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18,557</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1874"/>
              <w:spacing w:after="0"/>
              <w:rPr>
                <w:sz w:val="20"/>
                <w:szCs w:val="20"/>
                <w:color w:val="auto"/>
              </w:rPr>
            </w:pPr>
            <w:r>
              <w:rPr>
                <w:rFonts w:ascii="Times New Roman" w:cs="Times New Roman" w:eastAsia="Times New Roman" w:hAnsi="Times New Roman"/>
                <w:sz w:val="17"/>
                <w:szCs w:val="17"/>
                <w:color w:val="auto"/>
              </w:rPr>
              <w:t>17</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9"/>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9A9A9A"/>
            </w:tcBorders>
          </w:tcPr>
          <w:p>
            <w:pPr>
              <w:spacing w:after="0"/>
              <w:rPr>
                <w:sz w:val="8"/>
                <w:szCs w:val="8"/>
                <w:color w:val="auto"/>
              </w:rPr>
            </w:pPr>
          </w:p>
        </w:tc>
        <w:tc>
          <w:tcPr>
            <w:tcW w:w="4620" w:type="dxa"/>
            <w:vAlign w:val="bottom"/>
            <w:tcBorders>
              <w:bottom w:val="single" w:sz="8" w:color="9A9A9A"/>
            </w:tcBorders>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Accrued Expenses and Other Current Liabilities</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Accrued expenses and other current liabilities consisted of the following (in thousands):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79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November 30,</w:t>
            </w:r>
          </w:p>
        </w:tc>
      </w:tr>
      <w:tr>
        <w:trPr>
          <w:trHeight w:val="182"/>
        </w:trPr>
        <w:tc>
          <w:tcPr>
            <w:tcW w:w="796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796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compensation</w:t>
            </w:r>
          </w:p>
        </w:tc>
        <w:tc>
          <w:tcPr>
            <w:tcW w:w="1020" w:type="dxa"/>
            <w:vAlign w:val="bottom"/>
            <w:tcBorders>
              <w:bottom w:val="single" w:sz="8" w:color="CCEEFF"/>
            </w:tcBorders>
            <w:shd w:val="clear" w:color="auto" w:fill="CCEEFF"/>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15,303</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clinical, contract research and lab supplies</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10,430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7,131</w:t>
            </w:r>
          </w:p>
        </w:tc>
      </w:tr>
      <w:tr>
        <w:trPr>
          <w:trHeight w:val="25"/>
        </w:trPr>
        <w:tc>
          <w:tcPr>
            <w:tcW w:w="7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professional services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taxes</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5"/>
        </w:trPr>
        <w:tc>
          <w:tcPr>
            <w:tcW w:w="7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w:t>
            </w:r>
          </w:p>
        </w:tc>
      </w:tr>
      <w:tr>
        <w:trPr>
          <w:trHeight w:val="251"/>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 accrued expenses and other current liabilities</w:t>
            </w:r>
          </w:p>
        </w:tc>
        <w:tc>
          <w:tcPr>
            <w:tcW w:w="1020" w:type="dxa"/>
            <w:vAlign w:val="bottom"/>
            <w:tcBorders>
              <w:top w:val="single" w:sz="8" w:color="auto"/>
              <w:bottom w:val="single" w:sz="8" w:color="auto"/>
            </w:tcBorders>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23,263</w:t>
            </w: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24,970</w:t>
            </w:r>
          </w:p>
        </w:tc>
      </w:tr>
      <w:tr>
        <w:trPr>
          <w:trHeight w:val="20"/>
        </w:trPr>
        <w:tc>
          <w:tcPr>
            <w:tcW w:w="7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Fair Value Measurements</w:t>
      </w:r>
    </w:p>
    <w:p>
      <w:pPr>
        <w:spacing w:after="0" w:line="118"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In accordance with the authoritative guidance on fair value measurements and disclosures under U.S. GAAP,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82" w:lineRule="exact"/>
        <w:rPr>
          <w:sz w:val="20"/>
          <w:szCs w:val="20"/>
          <w:color w:val="auto"/>
        </w:rPr>
      </w:pPr>
    </w:p>
    <w:p>
      <w:pPr>
        <w:ind w:left="460" w:firstLine="619"/>
        <w:spacing w:after="0" w:line="271" w:lineRule="auto"/>
        <w:rPr>
          <w:sz w:val="20"/>
          <w:szCs w:val="20"/>
          <w:color w:val="auto"/>
        </w:rPr>
      </w:pPr>
      <w:r>
        <w:rPr>
          <w:rFonts w:ascii="Times New Roman" w:cs="Times New Roman" w:eastAsia="Times New Roman" w:hAnsi="Times New Roman"/>
          <w:sz w:val="17"/>
          <w:szCs w:val="17"/>
          <w:color w:val="auto"/>
        </w:rPr>
        <w:t>Level 1—Inputs that reflect unadjusted quoted prices in active markets for identical assets or liabilities that the Company has the ability to access at the measurement date;</w:t>
      </w:r>
    </w:p>
    <w:p>
      <w:pPr>
        <w:spacing w:after="0" w:line="48" w:lineRule="exact"/>
        <w:rPr>
          <w:sz w:val="20"/>
          <w:szCs w:val="20"/>
          <w:color w:val="auto"/>
        </w:rPr>
      </w:pPr>
    </w:p>
    <w:p>
      <w:pPr>
        <w:ind w:left="460" w:right="60" w:firstLine="619"/>
        <w:spacing w:after="0" w:line="287" w:lineRule="auto"/>
        <w:rPr>
          <w:sz w:val="20"/>
          <w:szCs w:val="20"/>
          <w:color w:val="auto"/>
        </w:rPr>
      </w:pPr>
      <w:r>
        <w:rPr>
          <w:rFonts w:ascii="Times New Roman" w:cs="Times New Roman" w:eastAsia="Times New Roman" w:hAnsi="Times New Roman"/>
          <w:sz w:val="17"/>
          <w:szCs w:val="17"/>
          <w:color w:val="auto"/>
        </w:rPr>
        <w:t>Level 2—Inputs other than quoted prices included within Level 1 that are observable for the asset or liability either directly or indirectly, including inputs in markets that are not considered to be active; and</w:t>
      </w:r>
    </w:p>
    <w:p>
      <w:pPr>
        <w:spacing w:after="0" w:line="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Level 3—Inputs that are unobservable.</w:t>
      </w:r>
    </w:p>
    <w:p>
      <w:pPr>
        <w:spacing w:after="0" w:line="101" w:lineRule="exact"/>
        <w:rPr>
          <w:sz w:val="20"/>
          <w:szCs w:val="20"/>
          <w:color w:val="auto"/>
        </w:rPr>
      </w:pPr>
    </w:p>
    <w:p>
      <w:pPr>
        <w:ind w:right="480" w:firstLine="619"/>
        <w:spacing w:after="0" w:line="262" w:lineRule="auto"/>
        <w:rPr>
          <w:sz w:val="20"/>
          <w:szCs w:val="20"/>
          <w:color w:val="auto"/>
        </w:rPr>
      </w:pPr>
      <w:r>
        <w:rPr>
          <w:rFonts w:ascii="Times New Roman" w:cs="Times New Roman" w:eastAsia="Times New Roman" w:hAnsi="Times New Roman"/>
          <w:sz w:val="17"/>
          <w:szCs w:val="17"/>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56" w:lineRule="exact"/>
        <w:rPr>
          <w:sz w:val="20"/>
          <w:szCs w:val="20"/>
          <w:color w:val="auto"/>
        </w:rPr>
      </w:pPr>
    </w:p>
    <w:p>
      <w:pPr>
        <w:ind w:firstLine="619"/>
        <w:spacing w:after="0" w:line="272" w:lineRule="auto"/>
        <w:rPr>
          <w:sz w:val="20"/>
          <w:szCs w:val="20"/>
          <w:color w:val="auto"/>
        </w:rPr>
      </w:pPr>
      <w:r>
        <w:rPr>
          <w:rFonts w:ascii="Times New Roman" w:cs="Times New Roman" w:eastAsia="Times New Roman" w:hAnsi="Times New Roman"/>
          <w:sz w:val="17"/>
          <w:szCs w:val="17"/>
          <w:color w:val="auto"/>
        </w:rPr>
        <w:t>The following tables present the Company’s investments, which consist of cash equivalents and available-for-sale marketable securities, that are measured at fair value on a recurring basis as of May 31, 2024 and November 30, 2023 (in thousands):</w:t>
      </w: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2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40" w:type="dxa"/>
            <w:vAlign w:val="bottom"/>
          </w:tcPr>
          <w:p>
            <w:pPr>
              <w:spacing w:after="0"/>
              <w:rPr>
                <w:sz w:val="14"/>
                <w:szCs w:val="14"/>
                <w:color w:val="auto"/>
              </w:rPr>
            </w:pPr>
          </w:p>
        </w:tc>
        <w:tc>
          <w:tcPr>
            <w:tcW w:w="11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82"/>
        </w:trPr>
        <w:tc>
          <w:tcPr>
            <w:tcW w:w="20" w:type="dxa"/>
            <w:vAlign w:val="bottom"/>
          </w:tcPr>
          <w:p>
            <w:pPr>
              <w:spacing w:after="0"/>
              <w:rPr>
                <w:sz w:val="15"/>
                <w:szCs w:val="15"/>
                <w:color w:val="auto"/>
              </w:rPr>
            </w:pP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May 31, 2024</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cost</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4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1"/>
              </w:rPr>
              <w:t>loss</w:t>
            </w:r>
          </w:p>
        </w:tc>
        <w:tc>
          <w:tcPr>
            <w:tcW w:w="240" w:type="dxa"/>
            <w:vAlign w:val="bottom"/>
          </w:tcPr>
          <w:p>
            <w:pPr>
              <w:spacing w:after="0"/>
              <w:rPr>
                <w:sz w:val="15"/>
                <w:szCs w:val="15"/>
                <w:color w:val="auto"/>
              </w:rPr>
            </w:pPr>
          </w:p>
        </w:tc>
        <w:tc>
          <w:tcPr>
            <w:tcW w:w="114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5"/>
        </w:trPr>
        <w:tc>
          <w:tcPr>
            <w:tcW w:w="20" w:type="dxa"/>
            <w:vAlign w:val="bottom"/>
          </w:tcPr>
          <w:p>
            <w:pPr>
              <w:spacing w:after="0"/>
              <w:rPr>
                <w:sz w:val="3"/>
                <w:szCs w:val="3"/>
                <w:color w:val="auto"/>
              </w:rPr>
            </w:pPr>
          </w:p>
        </w:tc>
        <w:tc>
          <w:tcPr>
            <w:tcW w:w="4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1"/>
        </w:trPr>
        <w:tc>
          <w:tcPr>
            <w:tcW w:w="20" w:type="dxa"/>
            <w:vAlign w:val="bottom"/>
          </w:tcPr>
          <w:p>
            <w:pPr>
              <w:spacing w:after="0"/>
              <w:rPr>
                <w:sz w:val="20"/>
                <w:szCs w:val="20"/>
                <w:color w:val="auto"/>
              </w:rPr>
            </w:pPr>
          </w:p>
        </w:tc>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Money market funds</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Level 1</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77,138</w:t>
            </w:r>
          </w:p>
        </w:tc>
      </w:tr>
      <w:tr>
        <w:trPr>
          <w:trHeight w:val="232"/>
        </w:trPr>
        <w:tc>
          <w:tcPr>
            <w:tcW w:w="20" w:type="dxa"/>
            <w:vAlign w:val="bottom"/>
          </w:tcPr>
          <w:p>
            <w:pPr>
              <w:spacing w:after="0"/>
              <w:rPr>
                <w:sz w:val="20"/>
                <w:szCs w:val="20"/>
                <w:color w:val="auto"/>
              </w:rPr>
            </w:pPr>
          </w:p>
        </w:tc>
        <w:tc>
          <w:tcPr>
            <w:tcW w:w="4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U.S. treasury securities</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Level 1</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316,454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316,461</w:t>
            </w:r>
          </w:p>
        </w:tc>
      </w:tr>
      <w:tr>
        <w:trPr>
          <w:trHeight w:val="25"/>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20" w:type="dxa"/>
            <w:vAlign w:val="bottom"/>
          </w:tcPr>
          <w:p>
            <w:pPr>
              <w:spacing w:after="0"/>
              <w:rPr>
                <w:sz w:val="20"/>
                <w:szCs w:val="20"/>
                <w:color w:val="auto"/>
              </w:rPr>
            </w:pPr>
          </w:p>
        </w:tc>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Level 2</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36,824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36,748</w:t>
            </w:r>
          </w:p>
        </w:tc>
      </w:tr>
      <w:tr>
        <w:trPr>
          <w:trHeight w:val="232"/>
        </w:trPr>
        <w:tc>
          <w:tcPr>
            <w:tcW w:w="20" w:type="dxa"/>
            <w:vAlign w:val="bottom"/>
          </w:tcPr>
          <w:p>
            <w:pPr>
              <w:spacing w:after="0"/>
              <w:rPr>
                <w:sz w:val="20"/>
                <w:szCs w:val="20"/>
                <w:color w:val="auto"/>
              </w:rPr>
            </w:pP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marketable securities: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20" w:type="dxa"/>
            <w:vAlign w:val="bottom"/>
          </w:tcPr>
          <w:p>
            <w:pPr>
              <w:spacing w:after="0"/>
              <w:rPr>
                <w:sz w:val="20"/>
                <w:szCs w:val="20"/>
                <w:color w:val="auto"/>
              </w:rPr>
            </w:pPr>
          </w:p>
        </w:tc>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U.S. treasury securities</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Level 1</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w:t>
            </w:r>
          </w:p>
        </w:tc>
      </w:tr>
      <w:tr>
        <w:trPr>
          <w:trHeight w:val="232"/>
        </w:trPr>
        <w:tc>
          <w:tcPr>
            <w:tcW w:w="20" w:type="dxa"/>
            <w:vAlign w:val="bottom"/>
          </w:tcPr>
          <w:p>
            <w:pPr>
              <w:spacing w:after="0"/>
              <w:rPr>
                <w:sz w:val="20"/>
                <w:szCs w:val="20"/>
                <w:color w:val="auto"/>
              </w:rPr>
            </w:pPr>
          </w:p>
        </w:tc>
        <w:tc>
          <w:tcPr>
            <w:tcW w:w="4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Level 2</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7,426</w:t>
            </w:r>
          </w:p>
        </w:tc>
      </w:tr>
      <w:tr>
        <w:trPr>
          <w:trHeight w:val="25"/>
        </w:trPr>
        <w:tc>
          <w:tcPr>
            <w:tcW w:w="20" w:type="dxa"/>
            <w:vAlign w:val="bottom"/>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6"/>
        </w:trPr>
        <w:tc>
          <w:tcPr>
            <w:tcW w:w="20" w:type="dxa"/>
            <w:vAlign w:val="bottom"/>
          </w:tcPr>
          <w:p>
            <w:pPr>
              <w:spacing w:after="0"/>
              <w:rPr>
                <w:sz w:val="23"/>
                <w:szCs w:val="23"/>
                <w:color w:val="auto"/>
              </w:rPr>
            </w:pPr>
          </w:p>
        </w:tc>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439,863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439,727</w:t>
            </w: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Included in cash and cash equivalents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103,990</w:t>
            </w:r>
          </w:p>
        </w:tc>
        <w:tc>
          <w:tcPr>
            <w:tcW w:w="100" w:type="dxa"/>
            <w:vAlign w:val="bottom"/>
          </w:tcPr>
          <w:p>
            <w:pPr>
              <w:spacing w:after="0"/>
              <w:rPr>
                <w:sz w:val="17"/>
                <w:szCs w:val="17"/>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17"/>
                <w:szCs w:val="17"/>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103,998</w:t>
            </w:r>
          </w:p>
        </w:tc>
      </w:tr>
      <w:tr>
        <w:trPr>
          <w:trHeight w:val="25"/>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20" w:type="dxa"/>
            <w:vAlign w:val="bottom"/>
          </w:tcPr>
          <w:p>
            <w:pPr>
              <w:spacing w:after="0"/>
              <w:rPr>
                <w:sz w:val="20"/>
                <w:szCs w:val="20"/>
                <w:color w:val="auto"/>
              </w:rPr>
            </w:pPr>
          </w:p>
        </w:tc>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Included in marketable securities, current</w:t>
            </w: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326,426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326,349</w:t>
            </w:r>
          </w:p>
        </w:tc>
      </w:tr>
      <w:tr>
        <w:trPr>
          <w:trHeight w:val="232"/>
        </w:trPr>
        <w:tc>
          <w:tcPr>
            <w:tcW w:w="20" w:type="dxa"/>
            <w:vAlign w:val="bottom"/>
          </w:tcPr>
          <w:p>
            <w:pPr>
              <w:spacing w:after="0"/>
              <w:rPr>
                <w:sz w:val="20"/>
                <w:szCs w:val="20"/>
                <w:color w:val="auto"/>
              </w:rPr>
            </w:pP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Included in marketable securities, non-current</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9,447</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9,380</w:t>
            </w:r>
          </w:p>
        </w:tc>
      </w:tr>
      <w:tr>
        <w:trPr>
          <w:trHeight w:val="890"/>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777"/>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44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2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40" w:type="dxa"/>
            <w:vAlign w:val="bottom"/>
          </w:tcPr>
          <w:p>
            <w:pPr>
              <w:spacing w:after="0"/>
              <w:rPr>
                <w:sz w:val="14"/>
                <w:szCs w:val="14"/>
                <w:color w:val="auto"/>
              </w:rPr>
            </w:pPr>
          </w:p>
        </w:tc>
        <w:tc>
          <w:tcPr>
            <w:tcW w:w="11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82"/>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30, 2023</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4"/>
              </w:rPr>
              <w:t>cost</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4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1"/>
              </w:rPr>
              <w:t>loss</w:t>
            </w:r>
          </w:p>
        </w:tc>
        <w:tc>
          <w:tcPr>
            <w:tcW w:w="240" w:type="dxa"/>
            <w:vAlign w:val="bottom"/>
          </w:tcPr>
          <w:p>
            <w:pPr>
              <w:spacing w:after="0"/>
              <w:rPr>
                <w:sz w:val="15"/>
                <w:szCs w:val="15"/>
                <w:color w:val="auto"/>
              </w:rPr>
            </w:pPr>
          </w:p>
        </w:tc>
        <w:tc>
          <w:tcPr>
            <w:tcW w:w="114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5"/>
        </w:trPr>
        <w:tc>
          <w:tcPr>
            <w:tcW w:w="4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1"/>
        </w:trPr>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Money market funds</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44,187</w:t>
            </w:r>
          </w:p>
        </w:tc>
      </w:tr>
      <w:tr>
        <w:trPr>
          <w:trHeight w:val="232"/>
        </w:trPr>
        <w:tc>
          <w:tcPr>
            <w:tcW w:w="4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U.S. treasury securities</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160,991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161,023</w:t>
            </w:r>
          </w:p>
        </w:tc>
      </w:tr>
      <w:tr>
        <w:trPr>
          <w:trHeight w:val="25"/>
        </w:trPr>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Level 2</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3,431</w:t>
            </w:r>
          </w:p>
        </w:tc>
      </w:tr>
      <w:tr>
        <w:trPr>
          <w:trHeight w:val="232"/>
        </w:trPr>
        <w:tc>
          <w:tcPr>
            <w:tcW w:w="4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Level 2</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68,827</w:t>
            </w:r>
          </w:p>
        </w:tc>
      </w:tr>
      <w:tr>
        <w:trPr>
          <w:trHeight w:val="25"/>
        </w:trPr>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marketable securities:</w:t>
            </w: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2"/>
        </w:trPr>
        <w:tc>
          <w:tcPr>
            <w:tcW w:w="4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Level 2</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7,421</w:t>
            </w:r>
          </w:p>
        </w:tc>
      </w:tr>
      <w:tr>
        <w:trPr>
          <w:trHeight w:val="25"/>
        </w:trPr>
        <w:tc>
          <w:tcPr>
            <w:tcW w:w="4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6"/>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285,544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284,889</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Included in cash and cash equivalents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44,187</w:t>
            </w:r>
          </w:p>
        </w:tc>
        <w:tc>
          <w:tcPr>
            <w:tcW w:w="100" w:type="dxa"/>
            <w:vAlign w:val="bottom"/>
          </w:tcPr>
          <w:p>
            <w:pPr>
              <w:spacing w:after="0"/>
              <w:rPr>
                <w:sz w:val="17"/>
                <w:szCs w:val="17"/>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44,187</w:t>
            </w:r>
          </w:p>
        </w:tc>
      </w:tr>
      <w:tr>
        <w:trPr>
          <w:trHeight w:val="25"/>
        </w:trPr>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Included in marketable securities, current</w:t>
            </w: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233,867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233,281</w:t>
            </w:r>
          </w:p>
        </w:tc>
      </w:tr>
      <w:tr>
        <w:trPr>
          <w:trHeight w:val="232"/>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Included in marketable securities, non-current</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7,490</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8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7,421</w:t>
            </w:r>
          </w:p>
        </w:tc>
      </w:tr>
    </w:tbl>
    <w:p>
      <w:pPr>
        <w:spacing w:after="0" w:line="202" w:lineRule="exact"/>
        <w:rPr>
          <w:sz w:val="20"/>
          <w:szCs w:val="20"/>
          <w:color w:val="auto"/>
        </w:rPr>
      </w:pPr>
    </w:p>
    <w:p>
      <w:pPr>
        <w:jc w:val="both"/>
        <w:ind w:right="160" w:firstLine="619"/>
        <w:spacing w:after="0" w:line="254" w:lineRule="auto"/>
        <w:rPr>
          <w:sz w:val="20"/>
          <w:szCs w:val="20"/>
          <w:color w:val="auto"/>
        </w:rPr>
      </w:pPr>
      <w:r>
        <w:rPr>
          <w:rFonts w:ascii="Times New Roman" w:cs="Times New Roman" w:eastAsia="Times New Roman" w:hAnsi="Times New Roman"/>
          <w:sz w:val="17"/>
          <w:szCs w:val="17"/>
          <w:color w:val="auto"/>
        </w:rPr>
        <w:t>The accrued interest receivable related to the Company’s marketable securities was $0.6 million and $0.8 million as of May 31, 2024 and November 30, 2023, respectively, and was included in prepaid expenses and other current assets on the condensed consolidated balance sheet. Long-term marketable securities held by the Company generally mature within two years from the balance sheet date.</w:t>
      </w:r>
    </w:p>
    <w:p>
      <w:pPr>
        <w:spacing w:after="0" w:line="76" w:lineRule="exact"/>
        <w:rPr>
          <w:sz w:val="20"/>
          <w:szCs w:val="20"/>
          <w:color w:val="auto"/>
        </w:rPr>
      </w:pPr>
    </w:p>
    <w:p>
      <w:pPr>
        <w:ind w:right="200" w:firstLine="619"/>
        <w:spacing w:after="0" w:line="271" w:lineRule="auto"/>
        <w:rPr>
          <w:sz w:val="20"/>
          <w:szCs w:val="20"/>
          <w:color w:val="auto"/>
        </w:rPr>
      </w:pPr>
      <w:r>
        <w:rPr>
          <w:rFonts w:ascii="Times New Roman" w:cs="Times New Roman" w:eastAsia="Times New Roman" w:hAnsi="Times New Roman"/>
          <w:sz w:val="17"/>
          <w:szCs w:val="17"/>
          <w:color w:val="auto"/>
        </w:rPr>
        <w:t>The Company classifies its money market funds and U.S. treasury securities, which are valued based on quoted market prices in active markets with no valuation adjustment, as Level 1 assets within the fair value hierarchy.</w:t>
      </w:r>
    </w:p>
    <w:p>
      <w:pPr>
        <w:spacing w:after="0" w:line="48" w:lineRule="exact"/>
        <w:rPr>
          <w:sz w:val="20"/>
          <w:szCs w:val="20"/>
          <w:color w:val="auto"/>
        </w:rPr>
      </w:pPr>
    </w:p>
    <w:p>
      <w:pPr>
        <w:ind w:right="40" w:firstLine="619"/>
        <w:spacing w:after="0" w:line="250" w:lineRule="auto"/>
        <w:rPr>
          <w:sz w:val="20"/>
          <w:szCs w:val="20"/>
          <w:color w:val="auto"/>
        </w:rPr>
      </w:pPr>
      <w:r>
        <w:rPr>
          <w:rFonts w:ascii="Times New Roman" w:cs="Times New Roman" w:eastAsia="Times New Roman" w:hAnsi="Times New Roman"/>
          <w:sz w:val="17"/>
          <w:szCs w:val="17"/>
          <w:color w:val="auto"/>
        </w:rPr>
        <w:t>The Company classifies its marketable securities in corporate debt securities, U.S. government agency securities, corporate commercial paper and foreign government securities as Level 2 assets within the fair value hierarchy. The fair values of these marketable securities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of financial instruments between valuation levels during the three and six months ended May 31, 2024 and 2023.</w:t>
      </w:r>
    </w:p>
    <w:p>
      <w:pPr>
        <w:spacing w:after="0" w:line="67" w:lineRule="exact"/>
        <w:rPr>
          <w:sz w:val="20"/>
          <w:szCs w:val="20"/>
          <w:color w:val="auto"/>
        </w:rPr>
      </w:pPr>
    </w:p>
    <w:p>
      <w:pPr>
        <w:ind w:right="20" w:firstLine="619"/>
        <w:spacing w:after="0" w:line="254" w:lineRule="auto"/>
        <w:rPr>
          <w:sz w:val="20"/>
          <w:szCs w:val="20"/>
          <w:color w:val="auto"/>
        </w:rPr>
      </w:pPr>
      <w:r>
        <w:rPr>
          <w:rFonts w:ascii="Times New Roman" w:cs="Times New Roman" w:eastAsia="Times New Roman" w:hAnsi="Times New Roman"/>
          <w:sz w:val="17"/>
          <w:szCs w:val="17"/>
          <w:color w:val="auto"/>
        </w:rPr>
        <w:t>As of May 31, 2024 and November 30, 2023, the unrealized losses for available-for-sale securities were non-credit related, and the Company does not intend to sell the securities that were in an unrealized loss position, nor will it be required to sell those securities before recovery of their amortized cost basis, which may be maturity. As of May 31, 2024 and November 30, 2023, no allowance for credit losses for the Company’s marketable securities was recorded. During the three and six months ended May 31, 2024 and 2023, the Company did not recognize any impairment losses related to marketable securities.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Commitments and Contingencies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120" w:lineRule="exact"/>
        <w:rPr>
          <w:sz w:val="20"/>
          <w:szCs w:val="20"/>
          <w:color w:val="auto"/>
        </w:rPr>
      </w:pPr>
    </w:p>
    <w:p>
      <w:pPr>
        <w:ind w:right="240" w:firstLine="619"/>
        <w:spacing w:after="0" w:line="254" w:lineRule="auto"/>
        <w:rPr>
          <w:sz w:val="20"/>
          <w:szCs w:val="20"/>
          <w:color w:val="auto"/>
        </w:rPr>
      </w:pPr>
      <w:r>
        <w:rPr>
          <w:rFonts w:ascii="Times New Roman" w:cs="Times New Roman" w:eastAsia="Times New Roman" w:hAnsi="Times New Roman"/>
          <w:sz w:val="17"/>
          <w:szCs w:val="17"/>
          <w:color w:val="auto"/>
        </w:rPr>
        <w:t>From time to time, the Company may be involved in legal proceedings in the ordinary course of business. The Company accrues a liability for such matters when it is probable that future expenditures will be made and that such expenditures can be reasonably estimated. Significant judgment is required to determine both probability and the estimated amount. Legal fees and other costs associated with such actions are expensed as incurred. As of May 31, 2024, the Company was not a party to any material legal proceedings.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Indemnifications</w:t>
      </w:r>
    </w:p>
    <w:p>
      <w:pPr>
        <w:spacing w:after="0" w:line="120" w:lineRule="exact"/>
        <w:rPr>
          <w:sz w:val="20"/>
          <w:szCs w:val="20"/>
          <w:color w:val="auto"/>
        </w:rPr>
      </w:pPr>
    </w:p>
    <w:p>
      <w:pPr>
        <w:ind w:right="80" w:firstLine="619"/>
        <w:spacing w:after="0" w:line="248" w:lineRule="auto"/>
        <w:rPr>
          <w:sz w:val="20"/>
          <w:szCs w:val="20"/>
          <w:color w:val="auto"/>
        </w:rPr>
      </w:pPr>
      <w:r>
        <w:rPr>
          <w:rFonts w:ascii="Times New Roman" w:cs="Times New Roman" w:eastAsia="Times New Roman" w:hAnsi="Times New Roman"/>
          <w:sz w:val="17"/>
          <w:szCs w:val="17"/>
          <w:color w:val="auto"/>
        </w:rPr>
        <w:t>In the ordinary course of business, the Company often includes standard indemnification provisions in its arrangements with its partners, suppliers and vendors, among others.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incurred any material costs as a result of such indemnifications and has not accrued any liabilities related to such obligations in these condensed consolidated financial statements as management believes such liability is immaterial.</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80" w:firstLine="619"/>
        <w:spacing w:after="0" w:line="250" w:lineRule="auto"/>
        <w:rPr>
          <w:sz w:val="20"/>
          <w:szCs w:val="20"/>
          <w:color w:val="auto"/>
        </w:rPr>
      </w:pPr>
      <w:r>
        <w:rPr>
          <w:rFonts w:ascii="Times New Roman" w:cs="Times New Roman" w:eastAsia="Times New Roman" w:hAnsi="Times New Roman"/>
          <w:sz w:val="17"/>
          <w:szCs w:val="17"/>
          <w:color w:val="auto"/>
        </w:rPr>
        <w:t>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condensed consolidated financial statements. The maximum potential amount of future payments the Company could be required to make under these indemnification agreements is not specified in the agreements. However, the Company currently has directors’ and officers’ insurance that reduces its exposure and may enable the Company to recover a portion of any future amounts paid.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Leases</w:t>
      </w:r>
    </w:p>
    <w:p>
      <w:pPr>
        <w:spacing w:after="0" w:line="120"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The Company leases office and laboratory facilities totaling approximately 57,902 square feet within the same building in San Francisco, California under several lease agreements. The terms of these lease agreements expire in April 2025. The Company has an option to renew these leases for an additional two years, and the renewal term has not been included in the lease term used to calculate the ROU asset and lease liability as it is not reasonably certain that the Company will exercise the option.</w:t>
      </w:r>
    </w:p>
    <w:p>
      <w:pPr>
        <w:spacing w:after="0" w:line="62" w:lineRule="exact"/>
        <w:rPr>
          <w:sz w:val="20"/>
          <w:szCs w:val="20"/>
          <w:color w:val="auto"/>
        </w:rPr>
      </w:pPr>
    </w:p>
    <w:p>
      <w:pPr>
        <w:ind w:right="140" w:firstLine="619"/>
        <w:spacing w:after="0" w:line="254" w:lineRule="auto"/>
        <w:rPr>
          <w:sz w:val="20"/>
          <w:szCs w:val="20"/>
          <w:color w:val="auto"/>
        </w:rPr>
      </w:pPr>
      <w:r>
        <w:rPr>
          <w:rFonts w:ascii="Times New Roman" w:cs="Times New Roman" w:eastAsia="Times New Roman" w:hAnsi="Times New Roman"/>
          <w:sz w:val="17"/>
          <w:szCs w:val="17"/>
          <w:color w:val="auto"/>
        </w:rPr>
        <w:t>In July 2021, the Company entered into a lease agreement for the lease of approximately 19,320 square feet of office space in a different building in San Francisco, California (the Mission Bay Lease). The lease commenced in December 2021 and will expire in June 2024, unless terminated earlier. In March 2024, the Company entered into a second amendment (the Second Amendment) to the Mission Bay Lease. The Second Amendment extends the lease term by approximately ten months. The minimum rent payable by the Company under the Second Amendment is approximately $0.1 million per month.</w:t>
      </w:r>
    </w:p>
    <w:p>
      <w:pPr>
        <w:spacing w:after="0" w:line="75"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In March 2022, the Company entered into a lease agreement for the lease of approximately 46,434 square feet of office space in The Woodlands, Texas. In August 2023, the lease agreement was amended to increase the square footage of the leased premise to 50,094 square feet. The amendment had no impact on the accounting for the lease. The Company has an option to renew for two additional terms of five years each, and the renewal terms have not been included in the lease term used to calculate the ROU asset and lease liability as it is not reasonably certain that the Company will exercise the option. The lease commenced in September 2023 when the underlying assets became available for use and will expire in March 2035.</w:t>
      </w:r>
    </w:p>
    <w:p>
      <w:pPr>
        <w:spacing w:after="0" w:line="69"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The Company is required to pay base rent plus its proportionate share of operating expenses, as defined in the applicable lease agreement on all of its leases. Variable lease payments related to operating expenses, including utilities, maintenance costs and real estate taxes, were $1.8 million and $3.3 million for the three and six months ended May 31, 2024, respectively, and $1.8 million and $3.1 million for the three and six months ended May 31, 2023, respectively.</w:t>
      </w:r>
    </w:p>
    <w:p>
      <w:pPr>
        <w:spacing w:after="0" w:line="56" w:lineRule="exact"/>
        <w:rPr>
          <w:sz w:val="20"/>
          <w:szCs w:val="20"/>
          <w:color w:val="auto"/>
        </w:rPr>
      </w:pPr>
    </w:p>
    <w:p>
      <w:pPr>
        <w:ind w:right="220" w:firstLine="619"/>
        <w:spacing w:after="0" w:line="262" w:lineRule="auto"/>
        <w:rPr>
          <w:sz w:val="20"/>
          <w:szCs w:val="20"/>
          <w:color w:val="auto"/>
        </w:rPr>
      </w:pPr>
      <w:r>
        <w:rPr>
          <w:rFonts w:ascii="Times New Roman" w:cs="Times New Roman" w:eastAsia="Times New Roman" w:hAnsi="Times New Roman"/>
          <w:sz w:val="17"/>
          <w:szCs w:val="17"/>
          <w:color w:val="auto"/>
        </w:rPr>
        <w:t>Operating lease expenses, excluding variable lease payments, were $2.2 million and $4.5 million for the three and six months ended May 31, 2024, respectively, and $1.5 million and $3.0 million for the three and six months ended May 31, 2023, respectively. Short-term lease expense was not material for the periods presented.</w:t>
      </w:r>
    </w:p>
    <w:p>
      <w:pPr>
        <w:spacing w:after="0" w:line="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information related to leases were as follows (in thousands):</w:t>
      </w:r>
    </w:p>
    <w:p>
      <w:pPr>
        <w:spacing w:after="0" w:line="54"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4"/>
          <w:szCs w:val="14"/>
          <w:b w:val="1"/>
          <w:bCs w:val="1"/>
          <w:color w:val="auto"/>
        </w:rPr>
        <w:t>Six Months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36195</wp:posOffset>
            </wp:positionV>
            <wp:extent cx="20466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46605" cy="8255"/>
                    </a:xfrm>
                    <a:prstGeom prst="rect">
                      <a:avLst/>
                    </a:prstGeom>
                    <a:noFill/>
                  </pic:spPr>
                </pic:pic>
              </a:graphicData>
            </a:graphic>
          </wp:anchor>
        </w:drawing>
      </w:r>
    </w:p>
    <w:p>
      <w:pPr>
        <w:spacing w:after="0" w:line="51" w:lineRule="exact"/>
        <w:rPr>
          <w:sz w:val="20"/>
          <w:szCs w:val="20"/>
          <w:color w:val="auto"/>
        </w:rPr>
      </w:pPr>
    </w:p>
    <w:p>
      <w:pPr>
        <w:ind w:left="8640"/>
        <w:spacing w:after="0"/>
        <w:tabs>
          <w:tab w:leader="none" w:pos="102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36195</wp:posOffset>
            </wp:positionV>
            <wp:extent cx="7105650" cy="163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163830"/>
                    </a:xfrm>
                    <a:prstGeom prst="rect">
                      <a:avLst/>
                    </a:prstGeom>
                    <a:noFill/>
                  </pic:spPr>
                </pic:pic>
              </a:graphicData>
            </a:graphic>
          </wp:anchor>
        </w:drawing>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p>
      <w:pPr>
        <w:spacing w:after="0" w:line="62" w:lineRule="exact"/>
        <w:rPr>
          <w:sz w:val="20"/>
          <w:szCs w:val="20"/>
          <w:color w:val="auto"/>
        </w:rPr>
      </w:pPr>
    </w:p>
    <w:p>
      <w:pPr>
        <w:ind w:left="200"/>
        <w:spacing w:after="0"/>
        <w:tabs>
          <w:tab w:leader="none" w:pos="8000" w:val="left"/>
          <w:tab w:leader="none" w:pos="9080" w:val="left"/>
          <w:tab w:leader="none" w:pos="9640" w:val="left"/>
          <w:tab w:leader="none" w:pos="10740" w:val="left"/>
        </w:tabs>
        <w:rPr>
          <w:sz w:val="20"/>
          <w:szCs w:val="20"/>
          <w:color w:val="auto"/>
        </w:rPr>
      </w:pPr>
      <w:r>
        <w:rPr>
          <w:rFonts w:ascii="Times New Roman" w:cs="Times New Roman" w:eastAsia="Times New Roman" w:hAnsi="Times New Roman"/>
          <w:sz w:val="17"/>
          <w:szCs w:val="17"/>
          <w:color w:val="auto"/>
        </w:rPr>
        <w:t>Cash flows from operating leases</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4,037</w:t>
        <w:tab/>
        <w:t>$</w:t>
      </w:r>
      <w:r>
        <w:rPr>
          <w:sz w:val="20"/>
          <w:szCs w:val="20"/>
          <w:color w:val="auto"/>
        </w:rPr>
        <w:tab/>
      </w:r>
      <w:r>
        <w:rPr>
          <w:rFonts w:ascii="Times New Roman" w:cs="Times New Roman" w:eastAsia="Times New Roman" w:hAnsi="Times New Roman"/>
          <w:sz w:val="17"/>
          <w:szCs w:val="17"/>
          <w:color w:val="auto"/>
        </w:rPr>
        <w:t>2,778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33655</wp:posOffset>
            </wp:positionV>
            <wp:extent cx="2046605"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46605" cy="3302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Common Stock</w:t>
      </w:r>
    </w:p>
    <w:p>
      <w:pPr>
        <w:spacing w:after="0" w:line="118" w:lineRule="exact"/>
        <w:rPr>
          <w:sz w:val="20"/>
          <w:szCs w:val="20"/>
          <w:color w:val="auto"/>
        </w:rPr>
      </w:pPr>
    </w:p>
    <w:p>
      <w:pPr>
        <w:ind w:right="100" w:firstLine="619"/>
        <w:spacing w:after="0" w:line="254" w:lineRule="auto"/>
        <w:rPr>
          <w:sz w:val="20"/>
          <w:szCs w:val="20"/>
          <w:color w:val="auto"/>
        </w:rPr>
      </w:pPr>
      <w:r>
        <w:rPr>
          <w:rFonts w:ascii="Times New Roman" w:cs="Times New Roman" w:eastAsia="Times New Roman" w:hAnsi="Times New Roman"/>
          <w:sz w:val="17"/>
          <w:szCs w:val="17"/>
          <w:color w:val="auto"/>
        </w:rPr>
        <w:t>The Company’s Restated Certificate of Incorporation authorizes the Company to issue up to 500,000,000 shares of common stock, $0.001 par value per share, as of May 31, 2024 and November 30, 2023. Holders of common stock are entitled to dividends when and if declared by the Company’s board of directors, subject to the prior rights of the holders of shares of preferred stock. The holder of each share of common stock is entitled to one vote. As of May 31, 2024, no dividends have been declared.</w:t>
      </w:r>
    </w:p>
    <w:p>
      <w:pPr>
        <w:spacing w:after="0" w:line="75" w:lineRule="exact"/>
        <w:rPr>
          <w:sz w:val="20"/>
          <w:szCs w:val="20"/>
          <w:color w:val="auto"/>
        </w:rPr>
      </w:pPr>
    </w:p>
    <w:p>
      <w:pPr>
        <w:ind w:right="20" w:firstLine="619"/>
        <w:spacing w:after="0" w:line="271" w:lineRule="auto"/>
        <w:rPr>
          <w:sz w:val="20"/>
          <w:szCs w:val="20"/>
          <w:color w:val="auto"/>
        </w:rPr>
      </w:pPr>
      <w:r>
        <w:rPr>
          <w:rFonts w:ascii="Times New Roman" w:cs="Times New Roman" w:eastAsia="Times New Roman" w:hAnsi="Times New Roman"/>
          <w:sz w:val="17"/>
          <w:szCs w:val="17"/>
          <w:color w:val="auto"/>
        </w:rPr>
        <w:t>In July 2022, the Company issued the 2022 Pre-Funded Warrants to purchase an aggregate of 6,814,920 shares of the Company’s common stock at a price of $13.939 per pre-funded warrant. As of May 31, 2024, a total of 6,097,560 of the 2022 Pre-Funded Warrants remained available for exercise.</w:t>
      </w:r>
    </w:p>
    <w:p>
      <w:pPr>
        <w:spacing w:after="0" w:line="48" w:lineRule="exact"/>
        <w:rPr>
          <w:sz w:val="20"/>
          <w:szCs w:val="20"/>
          <w:color w:val="auto"/>
        </w:rPr>
      </w:pPr>
    </w:p>
    <w:p>
      <w:pPr>
        <w:ind w:right="320" w:firstLine="619"/>
        <w:spacing w:after="0" w:line="271" w:lineRule="auto"/>
        <w:rPr>
          <w:sz w:val="20"/>
          <w:szCs w:val="20"/>
          <w:color w:val="auto"/>
        </w:rPr>
      </w:pPr>
      <w:r>
        <w:rPr>
          <w:rFonts w:ascii="Times New Roman" w:cs="Times New Roman" w:eastAsia="Times New Roman" w:hAnsi="Times New Roman"/>
          <w:sz w:val="17"/>
          <w:szCs w:val="17"/>
          <w:color w:val="auto"/>
        </w:rPr>
        <w:t>In April 2024, the Company issued the 2024 Pre-Funded Warrants to purchase an aggregate of 1,500,100 shares of the Company’s common stock at a price of $14.999 per pre-funded warrant. As of May 31, 2024, all of the 2024 Pre-Funded Warrants remained available for exercise.</w:t>
      </w:r>
    </w:p>
    <w:p>
      <w:pPr>
        <w:spacing w:after="0" w:line="200" w:lineRule="exact"/>
        <w:rPr>
          <w:sz w:val="20"/>
          <w:szCs w:val="20"/>
          <w:color w:val="auto"/>
        </w:rPr>
      </w:pPr>
    </w:p>
    <w:p>
      <w:pPr>
        <w:spacing w:after="0" w:line="3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80" w:firstLine="619"/>
        <w:spacing w:after="0" w:line="254" w:lineRule="auto"/>
        <w:rPr>
          <w:sz w:val="20"/>
          <w:szCs w:val="20"/>
          <w:color w:val="auto"/>
        </w:rPr>
      </w:pPr>
      <w:r>
        <w:rPr>
          <w:rFonts w:ascii="Times New Roman" w:cs="Times New Roman" w:eastAsia="Times New Roman" w:hAnsi="Times New Roman"/>
          <w:sz w:val="17"/>
          <w:szCs w:val="17"/>
          <w:color w:val="auto"/>
        </w:rPr>
        <w:t>All pre-funded warrants were immediately exercisable at issuance, have an exercise price of $0.001 and may be exercised at any time after the date of issuance. A holder of pre-funded warrants may not exercise the warrant if the holder, together with its affiliates, would beneficially own more than 9.99% of the number of shares of the Company’s common stock outstanding immediately after giving effect to such exercise. A holder of the pre-funded warrants may increase or decrease this percentage not in excess of 19.99% by providing at least 61 days’ prior notice to the Company.</w:t>
      </w:r>
    </w:p>
    <w:p>
      <w:pPr>
        <w:spacing w:after="0" w:line="62" w:lineRule="exact"/>
        <w:rPr>
          <w:sz w:val="20"/>
          <w:szCs w:val="20"/>
          <w:color w:val="auto"/>
        </w:rPr>
      </w:pPr>
    </w:p>
    <w:p>
      <w:pPr>
        <w:ind w:right="340" w:firstLine="619"/>
        <w:spacing w:after="0" w:line="253" w:lineRule="auto"/>
        <w:rPr>
          <w:sz w:val="20"/>
          <w:szCs w:val="20"/>
          <w:color w:val="auto"/>
        </w:rPr>
      </w:pPr>
      <w:r>
        <w:rPr>
          <w:rFonts w:ascii="Times New Roman" w:cs="Times New Roman" w:eastAsia="Times New Roman" w:hAnsi="Times New Roman"/>
          <w:sz w:val="17"/>
          <w:szCs w:val="17"/>
          <w:color w:val="auto"/>
        </w:rPr>
        <w:t>The pre-funded warrants were classified as a component of permanent equity in the Company's condensed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net loss per share, basic and diluted, attributable to common stockholders because the shares may be issued for little or no consideration, are fully vested and are exercisable after the original issuance date of the pre-funded warrants.</w:t>
      </w:r>
    </w:p>
    <w:p>
      <w:pPr>
        <w:spacing w:after="0" w:line="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Common stock reserved for future issuance, on an as-if converted basis, as of May 31, 2024 and November 30, 2023, consists of the following:</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7960" w:type="dxa"/>
            <w:vAlign w:val="bottom"/>
          </w:tcPr>
          <w:p>
            <w:pPr>
              <w:spacing w:after="0"/>
              <w:rPr>
                <w:sz w:val="14"/>
                <w:szCs w:val="14"/>
                <w:color w:val="auto"/>
              </w:rPr>
            </w:pP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160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November 30,</w:t>
            </w:r>
          </w:p>
        </w:tc>
      </w:tr>
      <w:tr>
        <w:trPr>
          <w:trHeight w:val="182"/>
        </w:trPr>
        <w:tc>
          <w:tcPr>
            <w:tcW w:w="7960" w:type="dxa"/>
            <w:vAlign w:val="bottom"/>
          </w:tcPr>
          <w:p>
            <w:pPr>
              <w:spacing w:after="0"/>
              <w:rPr>
                <w:sz w:val="15"/>
                <w:szCs w:val="15"/>
                <w:color w:val="auto"/>
              </w:rPr>
            </w:pPr>
          </w:p>
        </w:tc>
        <w:tc>
          <w:tcPr>
            <w:tcW w:w="158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60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796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to purchase common stock issued and outstanding</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9,972,005</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8,340,968</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units issued and outstanding</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2,110,719</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1,246,031</w:t>
            </w:r>
          </w:p>
        </w:tc>
      </w:tr>
      <w:tr>
        <w:trPr>
          <w:trHeight w:val="25"/>
        </w:trPr>
        <w:tc>
          <w:tcPr>
            <w:tcW w:w="7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available for future equity grants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714,103</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1,614,035</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available for issuance under employee stock purchase plan</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1,843,908</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1,530,281</w:t>
            </w:r>
          </w:p>
        </w:tc>
      </w:tr>
      <w:tr>
        <w:trPr>
          <w:trHeight w:val="25"/>
        </w:trPr>
        <w:tc>
          <w:tcPr>
            <w:tcW w:w="7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Pre-funded warrants issued and outstanding</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7,597,660</w:t>
            </w:r>
          </w:p>
        </w:tc>
        <w:tc>
          <w:tcPr>
            <w:tcW w:w="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6,097,560</w:t>
            </w:r>
          </w:p>
        </w:tc>
      </w:tr>
      <w:tr>
        <w:trPr>
          <w:trHeight w:val="251"/>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 common stock reserved for future issuance</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22,238,395</w:t>
            </w:r>
          </w:p>
        </w:tc>
        <w:tc>
          <w:tcPr>
            <w:tcW w:w="80" w:type="dxa"/>
            <w:vAlign w:val="bottom"/>
          </w:tcPr>
          <w:p>
            <w:pPr>
              <w:spacing w:after="0"/>
              <w:rPr>
                <w:sz w:val="21"/>
                <w:szCs w:val="21"/>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18,828,875</w:t>
            </w:r>
          </w:p>
        </w:tc>
      </w:tr>
      <w:tr>
        <w:trPr>
          <w:trHeight w:val="20"/>
        </w:trPr>
        <w:tc>
          <w:tcPr>
            <w:tcW w:w="79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Stock-Based Compensation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Incentive Plans</w:t>
      </w:r>
    </w:p>
    <w:p>
      <w:pPr>
        <w:spacing w:after="0" w:line="120" w:lineRule="exact"/>
        <w:rPr>
          <w:sz w:val="20"/>
          <w:szCs w:val="20"/>
          <w:color w:val="auto"/>
        </w:rPr>
      </w:pPr>
    </w:p>
    <w:p>
      <w:pPr>
        <w:jc w:val="both"/>
        <w:ind w:right="60" w:firstLine="619"/>
        <w:spacing w:after="0" w:line="262" w:lineRule="auto"/>
        <w:rPr>
          <w:sz w:val="20"/>
          <w:szCs w:val="20"/>
          <w:color w:val="auto"/>
        </w:rPr>
      </w:pPr>
      <w:r>
        <w:rPr>
          <w:rFonts w:ascii="Times New Roman" w:cs="Times New Roman" w:eastAsia="Times New Roman" w:hAnsi="Times New Roman"/>
          <w:sz w:val="17"/>
          <w:szCs w:val="17"/>
          <w:color w:val="auto"/>
        </w:rPr>
        <w:t>The Company’s 2020 Equity Incentive Plan (the 2020 Plan) serves as the successor to the Company’s 2012 Equity Incentive Plan (together with the 2020 Plan, the Stock Plans) and provides for the granting of stock options, stock appreciation rights, restricted stock awards, restricted stock units (RSUs), performance awards and stock bonus awards to employees, directors, consultants, independent contractors and advisors of the Company.</w:t>
      </w:r>
    </w:p>
    <w:p>
      <w:pPr>
        <w:spacing w:after="0" w:line="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Option activity under the Stock Plans is set forth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average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outstanding</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2"/>
              </w:rPr>
              <w:t>price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as of November 30, 2023</w:t>
            </w:r>
          </w:p>
        </w:tc>
        <w:tc>
          <w:tcPr>
            <w:tcW w:w="4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8,340,968</w:t>
            </w:r>
          </w:p>
        </w:tc>
        <w:tc>
          <w:tcPr>
            <w:tcW w:w="320" w:type="dxa"/>
            <w:vAlign w:val="bottom"/>
            <w:tcBorders>
              <w:bottom w:val="single" w:sz="8" w:color="CCEEFF"/>
            </w:tcBorders>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Options granted</w:t>
            </w:r>
          </w:p>
        </w:tc>
        <w:tc>
          <w:tcPr>
            <w:tcW w:w="4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2,321,241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9.65</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5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Options exercised</w:t>
            </w:r>
          </w:p>
        </w:tc>
        <w:tc>
          <w:tcPr>
            <w:tcW w:w="4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(99,470)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Options forfeited</w:t>
            </w:r>
          </w:p>
        </w:tc>
        <w:tc>
          <w:tcPr>
            <w:tcW w:w="4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(590,734)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06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as of May 31, 2024</w:t>
            </w:r>
          </w:p>
        </w:tc>
        <w:tc>
          <w:tcPr>
            <w:tcW w:w="4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9,972,005</w:t>
            </w:r>
          </w:p>
        </w:tc>
        <w:tc>
          <w:tcPr>
            <w:tcW w:w="32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bottom w:val="single" w:sz="8" w:color="CCEEFF"/>
            </w:tcBorders>
            <w:vMerge w:val="restart"/>
          </w:tcPr>
          <w:p>
            <w:pPr>
              <w:ind w:left="600"/>
              <w:spacing w:after="0"/>
              <w:rPr>
                <w:sz w:val="20"/>
                <w:szCs w:val="20"/>
                <w:color w:val="auto"/>
              </w:rPr>
            </w:pPr>
            <w:r>
              <w:rPr>
                <w:rFonts w:ascii="Times New Roman" w:cs="Times New Roman" w:eastAsia="Times New Roman" w:hAnsi="Times New Roman"/>
                <w:sz w:val="17"/>
                <w:szCs w:val="17"/>
                <w:color w:val="auto"/>
              </w:rPr>
              <w:t>RSU activity under the Stock Plans is set forth below:</w:t>
            </w:r>
          </w:p>
        </w:tc>
        <w:tc>
          <w:tcPr>
            <w:tcW w:w="29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2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Weighted-average grant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RSUs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date fair value</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060" w:type="dxa"/>
            <w:vAlign w:val="bottom"/>
            <w:tcBorders>
              <w:bottom w:val="single" w:sz="8" w:color="CCEEFF"/>
            </w:tcBorders>
          </w:tcPr>
          <w:p>
            <w:pPr>
              <w:spacing w:after="0"/>
              <w:rPr>
                <w:sz w:val="3"/>
                <w:szCs w:val="3"/>
                <w:color w:val="auto"/>
              </w:rPr>
            </w:pPr>
          </w:p>
        </w:tc>
        <w:tc>
          <w:tcPr>
            <w:tcW w:w="29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as of November 30, 2023</w:t>
            </w:r>
          </w:p>
        </w:tc>
        <w:tc>
          <w:tcPr>
            <w:tcW w:w="4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1,246,031</w:t>
            </w:r>
          </w:p>
        </w:tc>
        <w:tc>
          <w:tcPr>
            <w:tcW w:w="320" w:type="dxa"/>
            <w:vAlign w:val="bottom"/>
            <w:tcBorders>
              <w:bottom w:val="single" w:sz="8" w:color="CCEEFF"/>
            </w:tcBorders>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12.58</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RSUs granted</w:t>
            </w:r>
          </w:p>
        </w:tc>
        <w:tc>
          <w:tcPr>
            <w:tcW w:w="4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1,349,905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44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5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RSUs vested</w:t>
            </w:r>
          </w:p>
        </w:tc>
        <w:tc>
          <w:tcPr>
            <w:tcW w:w="4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(255,027)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RSUs forfeited</w:t>
            </w:r>
          </w:p>
        </w:tc>
        <w:tc>
          <w:tcPr>
            <w:tcW w:w="4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(230,190)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06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gridSpan w:val="2"/>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as of May 31, 2024</w:t>
            </w:r>
          </w:p>
        </w:tc>
        <w:tc>
          <w:tcPr>
            <w:tcW w:w="4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2,110,719</w:t>
            </w:r>
          </w:p>
        </w:tc>
        <w:tc>
          <w:tcPr>
            <w:tcW w:w="32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CCEEFF"/>
            </w:tcBorders>
            <w:vMerge w:val="restart"/>
          </w:tcPr>
          <w:p>
            <w:pPr>
              <w:jc w:val="right"/>
              <w:ind w:right="1874"/>
              <w:spacing w:after="0"/>
              <w:rPr>
                <w:sz w:val="20"/>
                <w:szCs w:val="20"/>
                <w:color w:val="auto"/>
              </w:rPr>
            </w:pPr>
            <w:r>
              <w:rPr>
                <w:rFonts w:ascii="Times New Roman" w:cs="Times New Roman" w:eastAsia="Times New Roman" w:hAnsi="Times New Roman"/>
                <w:sz w:val="17"/>
                <w:szCs w:val="17"/>
                <w:color w:val="auto"/>
              </w:rPr>
              <w:t>21</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9A9A9A"/>
            </w:tcBorders>
          </w:tcPr>
          <w:p>
            <w:pPr>
              <w:spacing w:after="0"/>
              <w:rPr>
                <w:sz w:val="8"/>
                <w:szCs w:val="8"/>
                <w:color w:val="auto"/>
              </w:rPr>
            </w:pPr>
          </w:p>
        </w:tc>
        <w:tc>
          <w:tcPr>
            <w:tcW w:w="5060" w:type="dxa"/>
            <w:vAlign w:val="bottom"/>
            <w:tcBorders>
              <w:bottom w:val="single" w:sz="8" w:color="9A9A9A"/>
            </w:tcBorders>
          </w:tcPr>
          <w:p>
            <w:pPr>
              <w:spacing w:after="0"/>
              <w:rPr>
                <w:sz w:val="8"/>
                <w:szCs w:val="8"/>
                <w:color w:val="auto"/>
              </w:rPr>
            </w:pPr>
          </w:p>
        </w:tc>
        <w:tc>
          <w:tcPr>
            <w:tcW w:w="290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120" w:lineRule="exact"/>
        <w:rPr>
          <w:sz w:val="20"/>
          <w:szCs w:val="20"/>
          <w:color w:val="auto"/>
        </w:rPr>
      </w:pPr>
    </w:p>
    <w:p>
      <w:pPr>
        <w:ind w:right="400" w:firstLine="619"/>
        <w:spacing w:after="0" w:line="262" w:lineRule="auto"/>
        <w:rPr>
          <w:sz w:val="20"/>
          <w:szCs w:val="20"/>
          <w:color w:val="auto"/>
        </w:rPr>
      </w:pPr>
      <w:r>
        <w:rPr>
          <w:rFonts w:ascii="Times New Roman" w:cs="Times New Roman" w:eastAsia="Times New Roman" w:hAnsi="Times New Roman"/>
          <w:sz w:val="17"/>
          <w:szCs w:val="17"/>
          <w:color w:val="auto"/>
        </w:rPr>
        <w:t>Under the Company’s 2020 Employee Stock Purchase Plan (the ESPP), eligible employees are entitled to purchase shares of common stock with accumulated payroll deductions. During the six months ended May 31, 2024, the Company issued 173,558 shares of common stock pursuant to the ESPP at a weighted-average price of $7.31 per share.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20" w:lineRule="exact"/>
        <w:rPr>
          <w:sz w:val="20"/>
          <w:szCs w:val="20"/>
          <w:color w:val="auto"/>
        </w:rPr>
      </w:pPr>
    </w:p>
    <w:p>
      <w:pPr>
        <w:ind w:right="440" w:firstLine="619"/>
        <w:spacing w:after="0" w:line="271" w:lineRule="auto"/>
        <w:rPr>
          <w:sz w:val="20"/>
          <w:szCs w:val="20"/>
          <w:color w:val="auto"/>
        </w:rPr>
      </w:pPr>
      <w:r>
        <w:rPr>
          <w:rFonts w:ascii="Times New Roman" w:cs="Times New Roman" w:eastAsia="Times New Roman" w:hAnsi="Times New Roman"/>
          <w:sz w:val="17"/>
          <w:szCs w:val="17"/>
          <w:color w:val="auto"/>
        </w:rPr>
        <w:t>Stock-based compensation expense related to the Stock Plans and the ESPP that is included in the Company’s condensed consolidated statements of operations is as follows (in thousands):</w:t>
      </w:r>
    </w:p>
    <w:tbl>
      <w:tblPr>
        <w:tblLayout w:type="fixed"/>
        <w:tblInd w:w="60" w:type="dxa"/>
        <w:tblCellMar>
          <w:top w:w="0" w:type="dxa"/>
          <w:left w:w="0" w:type="dxa"/>
          <w:bottom w:w="0" w:type="dxa"/>
          <w:right w:w="0" w:type="dxa"/>
        </w:tblCellMar>
      </w:tblPr>
      <w:tr>
        <w:trPr>
          <w:trHeight w:val="156"/>
        </w:trPr>
        <w:tc>
          <w:tcPr>
            <w:tcW w:w="4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40" w:type="dxa"/>
            <w:vAlign w:val="bottom"/>
            <w:gridSpan w:val="3"/>
          </w:tcPr>
          <w:p>
            <w:pPr>
              <w:jc w:val="right"/>
              <w:ind w:right="340"/>
              <w:spacing w:after="0" w:line="157" w:lineRule="exact"/>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8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r>
      <w:tr>
        <w:trPr>
          <w:trHeight w:val="182"/>
        </w:trPr>
        <w:tc>
          <w:tcPr>
            <w:tcW w:w="4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4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gridSpan w:val="3"/>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1000" w:type="dxa"/>
            <w:vAlign w:val="bottom"/>
          </w:tcPr>
          <w:p>
            <w:pPr>
              <w:spacing w:after="0"/>
              <w:rPr>
                <w:sz w:val="15"/>
                <w:szCs w:val="15"/>
                <w:color w:val="auto"/>
              </w:rPr>
            </w:pPr>
          </w:p>
        </w:tc>
      </w:tr>
      <w:tr>
        <w:trPr>
          <w:trHeight w:val="48"/>
        </w:trPr>
        <w:tc>
          <w:tcPr>
            <w:tcW w:w="456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177"/>
        </w:trPr>
        <w:tc>
          <w:tcPr>
            <w:tcW w:w="4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45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1"/>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940" w:type="dxa"/>
            <w:vAlign w:val="bottom"/>
            <w:tcBorders>
              <w:bottom w:val="single" w:sz="8" w:color="CCEEFF"/>
            </w:tcBorders>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4,285</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4,859</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8,112</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10,013</w:t>
            </w:r>
          </w:p>
        </w:tc>
      </w:tr>
      <w:tr>
        <w:trPr>
          <w:trHeight w:val="232"/>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940" w:type="dxa"/>
            <w:vAlign w:val="bottom"/>
          </w:tcPr>
          <w:p>
            <w:pPr>
              <w:spacing w:after="0"/>
              <w:rPr>
                <w:sz w:val="20"/>
                <w:szCs w:val="20"/>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4,560</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3,864</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8,555</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7,191</w:t>
            </w:r>
          </w:p>
        </w:tc>
      </w:tr>
      <w:tr>
        <w:trPr>
          <w:trHeight w:val="25"/>
        </w:trPr>
        <w:tc>
          <w:tcPr>
            <w:tcW w:w="45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6"/>
        </w:trPr>
        <w:tc>
          <w:tcPr>
            <w:tcW w:w="4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940" w:type="dxa"/>
            <w:vAlign w:val="bottom"/>
            <w:tcBorders>
              <w:bottom w:val="single" w:sz="8" w:color="auto"/>
            </w:tcBorders>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8,845</w:t>
            </w:r>
          </w:p>
        </w:tc>
        <w:tc>
          <w:tcPr>
            <w:tcW w:w="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8,723</w:t>
            </w: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16,667</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17,204</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As of May 31, 2024, the total compensation cost related to stock-based awards not yet recognized was $57.2 million, which is expected to be amortized on a straight-line basis over the weighted-average remaining vesting period of approximately 2.1 years.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Defined Contribution Plan</w:t>
      </w:r>
    </w:p>
    <w:p>
      <w:pPr>
        <w:spacing w:after="0" w:line="118"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The Company sponsors a defined-contribution savings plan under Section 401(k) of the Internal Revenue Code of 1986, as amended (the 401(k) Plan), which provides for the Company to make discretionary matching or discretionary annual contributions to the 401(k) Plan, for its employees. Substantially all of the Company’s employees are eligible to participate in the 401(k) Plan. Employees may contribute a percentage of their annual compensation to the plan, subject to statutory limitations. The Company has made contributions to the 401(k) Plan and recorded contribution expense of $0.4 million and $0.8 million during the three and six months ended May 31, 2024, respectively, $0.2 million and $0.8 million during the three and six months ended May 31, 2023,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Income Taxes</w:t>
      </w:r>
    </w:p>
    <w:p>
      <w:pPr>
        <w:spacing w:after="0" w:line="118" w:lineRule="exact"/>
        <w:rPr>
          <w:sz w:val="20"/>
          <w:szCs w:val="20"/>
          <w:color w:val="auto"/>
        </w:rPr>
      </w:pPr>
    </w:p>
    <w:p>
      <w:pPr>
        <w:ind w:right="60" w:firstLine="619"/>
        <w:spacing w:after="0" w:line="247" w:lineRule="auto"/>
        <w:rPr>
          <w:sz w:val="20"/>
          <w:szCs w:val="20"/>
          <w:color w:val="auto"/>
        </w:rPr>
      </w:pPr>
      <w:r>
        <w:rPr>
          <w:rFonts w:ascii="Times New Roman" w:cs="Times New Roman" w:eastAsia="Times New Roman" w:hAnsi="Times New Roman"/>
          <w:sz w:val="17"/>
          <w:szCs w:val="17"/>
          <w:color w:val="auto"/>
        </w:rPr>
        <w:t>For the three and six months ended May 31, 2024, the Company recorded an income tax provision of $90,000 and $180,000, respectively. For the three and six months ended May 31, 2023, the Company did not record any current income tax expense or provision. Deferred income taxes reflect the net tax effects of loss and credit carryforwards and temporary differences between the carrying amounts of assets and liabilities for financial reporting purposes and the amounts used for income tax purposes. Realization of the deferred tax assets is dependent upon future taxable income, the amount, if any, and timing of which are uncertain. The Company has generated losses since inception and has established a valuation allowance to offset deferred tax assets as of May 31, 2024 and 2023 due to the uncertainty of realizing future tax benefits from its net operating loss carryforwards and other deferred tax assets.</w:t>
      </w:r>
    </w:p>
    <w:p>
      <w:pPr>
        <w:spacing w:after="0" w:line="82"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The Company files income tax returns in the United States and in various states. In January 2019, the California Franchise Tax Board (FTB) initiated an examination of the Company’s California tax return for tax years ending in 2015, 2016, 2017 and 2018. During the year ended November 30, 2021, the FTB issued proposed audit assessments related to revenue sourcing and R&amp;D credits. The Company did not agree with the FTB’s assessments and challenged the assessments. Pursuant to a measurement analysis, the Company has not recorded an unrecognized tax benefit related to the FTB’s sourcing position. The Company maintains an unrecognized tax benefit related to its California R&amp;D credits for all years. All of the Company’s tax years will remain open for examination by the federal and state authorities for three and four years, respectively, from the date of the utilization of any net operating losses.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Net Loss Per Share</w:t>
      </w:r>
    </w:p>
    <w:p>
      <w:pPr>
        <w:spacing w:after="0" w:line="118" w:lineRule="exact"/>
        <w:rPr>
          <w:sz w:val="20"/>
          <w:szCs w:val="20"/>
          <w:color w:val="auto"/>
        </w:rPr>
      </w:pPr>
    </w:p>
    <w:p>
      <w:pPr>
        <w:ind w:right="20" w:firstLine="619"/>
        <w:spacing w:after="0" w:line="271" w:lineRule="auto"/>
        <w:rPr>
          <w:sz w:val="20"/>
          <w:szCs w:val="20"/>
          <w:color w:val="auto"/>
        </w:rPr>
      </w:pPr>
      <w:r>
        <w:rPr>
          <w:rFonts w:ascii="Times New Roman" w:cs="Times New Roman" w:eastAsia="Times New Roman" w:hAnsi="Times New Roman"/>
          <w:sz w:val="17"/>
          <w:szCs w:val="17"/>
          <w:color w:val="auto"/>
        </w:rPr>
        <w:t>The following table sets forth the computation of the Company’s basic and diluted net loss per share attributable to common stockholders, which excludes shares which are legally outstanding but subject to repurchase by the Company (in thousands, except share and per share data):</w:t>
      </w:r>
    </w:p>
    <w:tbl>
      <w:tblPr>
        <w:tblLayout w:type="fixed"/>
        <w:tblInd w:w="20" w:type="dxa"/>
        <w:tblCellMar>
          <w:top w:w="0" w:type="dxa"/>
          <w:left w:w="0" w:type="dxa"/>
          <w:bottom w:w="0" w:type="dxa"/>
          <w:right w:w="0" w:type="dxa"/>
        </w:tblCellMar>
      </w:tblPr>
      <w:tr>
        <w:trPr>
          <w:trHeight w:val="156"/>
        </w:trPr>
        <w:tc>
          <w:tcPr>
            <w:tcW w:w="4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040" w:type="dxa"/>
            <w:vAlign w:val="bottom"/>
          </w:tcPr>
          <w:p>
            <w:pPr>
              <w:spacing w:after="0"/>
              <w:rPr>
                <w:sz w:val="13"/>
                <w:szCs w:val="13"/>
                <w:color w:val="auto"/>
              </w:rPr>
            </w:pPr>
          </w:p>
        </w:tc>
      </w:tr>
      <w:tr>
        <w:trPr>
          <w:trHeight w:val="182"/>
        </w:trPr>
        <w:tc>
          <w:tcPr>
            <w:tcW w:w="4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gridSpan w:val="3"/>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gridSpan w:val="3"/>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1040" w:type="dxa"/>
            <w:vAlign w:val="bottom"/>
          </w:tcPr>
          <w:p>
            <w:pPr>
              <w:spacing w:after="0"/>
              <w:rPr>
                <w:sz w:val="15"/>
                <w:szCs w:val="15"/>
                <w:color w:val="auto"/>
              </w:rPr>
            </w:pPr>
          </w:p>
        </w:tc>
      </w:tr>
      <w:tr>
        <w:trPr>
          <w:trHeight w:val="48"/>
        </w:trPr>
        <w:tc>
          <w:tcPr>
            <w:tcW w:w="45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177"/>
        </w:trPr>
        <w:tc>
          <w:tcPr>
            <w:tcW w:w="4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45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1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3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32"/>
        </w:trPr>
        <w:tc>
          <w:tcPr>
            <w:tcW w:w="4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(44,546)</w:t>
            </w:r>
          </w:p>
        </w:tc>
        <w:tc>
          <w:tcPr>
            <w:tcW w:w="80" w:type="dxa"/>
            <w:vAlign w:val="bottom"/>
          </w:tcPr>
          <w:p>
            <w:pPr>
              <w:spacing w:after="0"/>
              <w:rPr>
                <w:sz w:val="20"/>
                <w:szCs w:val="20"/>
                <w:color w:val="auto"/>
              </w:rPr>
            </w:pPr>
          </w:p>
        </w:tc>
        <w:tc>
          <w:tcPr>
            <w:tcW w:w="62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(24,277)</w:t>
            </w:r>
          </w:p>
        </w:tc>
        <w:tc>
          <w:tcPr>
            <w:tcW w:w="10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(86,064)</w:t>
            </w:r>
          </w:p>
        </w:tc>
        <w:tc>
          <w:tcPr>
            <w:tcW w:w="140" w:type="dxa"/>
            <w:vAlign w:val="bottom"/>
          </w:tcPr>
          <w:p>
            <w:pPr>
              <w:spacing w:after="0"/>
              <w:rPr>
                <w:sz w:val="20"/>
                <w:szCs w:val="20"/>
                <w:color w:val="auto"/>
              </w:rPr>
            </w:pP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(65,010)</w:t>
            </w:r>
          </w:p>
        </w:tc>
      </w:tr>
      <w:tr>
        <w:trPr>
          <w:trHeight w:val="25"/>
        </w:trPr>
        <w:tc>
          <w:tcPr>
            <w:tcW w:w="45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3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11"/>
        </w:trPr>
        <w:tc>
          <w:tcPr>
            <w:tcW w:w="4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Weighted-average number of shares outstanding, basic and</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3"/>
        </w:trPr>
        <w:tc>
          <w:tcPr>
            <w:tcW w:w="4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diluted</w:t>
            </w:r>
            <w:r>
              <w:rPr>
                <w:rFonts w:ascii="Times New Roman" w:cs="Times New Roman" w:eastAsia="Times New Roman" w:hAnsi="Times New Roman"/>
                <w:sz w:val="22"/>
                <w:szCs w:val="22"/>
                <w:color w:val="auto"/>
                <w:vertAlign w:val="superscript"/>
              </w:rPr>
              <w:t>(1)</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62,377,551</w:t>
            </w:r>
          </w:p>
        </w:tc>
        <w:tc>
          <w:tcPr>
            <w:tcW w:w="8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54,259,045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58,660,900</w:t>
            </w:r>
          </w:p>
        </w:tc>
        <w:tc>
          <w:tcPr>
            <w:tcW w:w="14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54,144,909</w:t>
            </w:r>
          </w:p>
        </w:tc>
      </w:tr>
      <w:tr>
        <w:trPr>
          <w:trHeight w:val="276"/>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(0.71)</w:t>
            </w: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820" w:right="560" w:hanging="800"/>
        <w:spacing w:after="0" w:line="287" w:lineRule="auto"/>
        <w:tabs>
          <w:tab w:leader="none" w:pos="8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underlying the pre-funded warrants to purchase shares of the Company’s common stock have been included in the calculation of the weighted-average number of shares outstanding, basic and diluted, for the three and six months ended May 31, 2024 and 2023.</w:t>
      </w:r>
    </w:p>
    <w:p>
      <w:pPr>
        <w:spacing w:after="0" w:line="164" w:lineRule="exact"/>
        <w:rPr>
          <w:sz w:val="20"/>
          <w:szCs w:val="20"/>
          <w:color w:val="auto"/>
        </w:rPr>
      </w:pPr>
    </w:p>
    <w:p>
      <w:pPr>
        <w:ind w:right="560" w:firstLine="619"/>
        <w:spacing w:after="0" w:line="271" w:lineRule="auto"/>
        <w:rPr>
          <w:sz w:val="20"/>
          <w:szCs w:val="20"/>
          <w:color w:val="auto"/>
        </w:rPr>
      </w:pPr>
      <w:r>
        <w:rPr>
          <w:rFonts w:ascii="Times New Roman" w:cs="Times New Roman" w:eastAsia="Times New Roman" w:hAnsi="Times New Roman"/>
          <w:sz w:val="17"/>
          <w:szCs w:val="17"/>
          <w:color w:val="auto"/>
        </w:rPr>
        <w:t>The following potentially dilutive securities were excluded from the computation of the diluted net loss per share of common stock for the periods presented because their effect would have been anti-dilutive:</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960" w:type="dxa"/>
            <w:vAlign w:val="bottom"/>
          </w:tcPr>
          <w:p>
            <w:pPr>
              <w:spacing w:after="0"/>
              <w:rPr>
                <w:sz w:val="15"/>
                <w:szCs w:val="15"/>
                <w:color w:val="auto"/>
              </w:rPr>
            </w:pPr>
          </w:p>
        </w:tc>
        <w:tc>
          <w:tcPr>
            <w:tcW w:w="2080" w:type="dxa"/>
            <w:vAlign w:val="bottom"/>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1180" w:type="dxa"/>
            <w:vAlign w:val="bottom"/>
          </w:tcPr>
          <w:p>
            <w:pPr>
              <w:spacing w:after="0"/>
              <w:rPr>
                <w:sz w:val="15"/>
                <w:szCs w:val="15"/>
                <w:color w:val="auto"/>
              </w:rPr>
            </w:pPr>
          </w:p>
        </w:tc>
      </w:tr>
      <w:tr>
        <w:trPr>
          <w:trHeight w:val="35"/>
        </w:trPr>
        <w:tc>
          <w:tcPr>
            <w:tcW w:w="796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77"/>
        </w:trPr>
        <w:tc>
          <w:tcPr>
            <w:tcW w:w="7960" w:type="dxa"/>
            <w:vAlign w:val="bottom"/>
          </w:tcPr>
          <w:p>
            <w:pPr>
              <w:spacing w:after="0"/>
              <w:rPr>
                <w:sz w:val="15"/>
                <w:szCs w:val="15"/>
                <w:color w:val="auto"/>
              </w:rPr>
            </w:pPr>
          </w:p>
        </w:tc>
        <w:tc>
          <w:tcPr>
            <w:tcW w:w="158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796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to purchase common stock issued and outstanding</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9,972,005</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8,949,950</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early exercised subject to vesting</w:t>
            </w:r>
          </w:p>
        </w:tc>
        <w:tc>
          <w:tcPr>
            <w:tcW w:w="208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11,893</w:t>
            </w:r>
          </w:p>
        </w:tc>
      </w:tr>
      <w:tr>
        <w:trPr>
          <w:trHeight w:val="25"/>
        </w:trPr>
        <w:tc>
          <w:tcPr>
            <w:tcW w:w="7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issued and outstanding</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2,110,719</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1,489,429</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expected to be purchased under employee stock purchase plan</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110,065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102,506</w:t>
            </w:r>
          </w:p>
        </w:tc>
      </w:tr>
      <w:tr>
        <w:trPr>
          <w:trHeight w:val="25"/>
        </w:trPr>
        <w:tc>
          <w:tcPr>
            <w:tcW w:w="79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6"/>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12,192,789</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10,553,778</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Related Party Transactions</w:t>
      </w:r>
    </w:p>
    <w:p>
      <w:pPr>
        <w:spacing w:after="0" w:line="118" w:lineRule="exact"/>
        <w:rPr>
          <w:sz w:val="20"/>
          <w:szCs w:val="20"/>
          <w:color w:val="auto"/>
        </w:rPr>
      </w:pPr>
    </w:p>
    <w:p>
      <w:pPr>
        <w:ind w:right="60" w:firstLine="619"/>
        <w:spacing w:after="0" w:line="254" w:lineRule="auto"/>
        <w:rPr>
          <w:sz w:val="20"/>
          <w:szCs w:val="20"/>
          <w:color w:val="auto"/>
        </w:rPr>
      </w:pPr>
      <w:r>
        <w:rPr>
          <w:rFonts w:ascii="Times New Roman" w:cs="Times New Roman" w:eastAsia="Times New Roman" w:hAnsi="Times New Roman"/>
          <w:sz w:val="17"/>
          <w:szCs w:val="17"/>
          <w:color w:val="auto"/>
        </w:rPr>
        <w:t>The Company’s Chief Financial Officer is a trustee for the multiple employer welfare association that facilitates the acquisition and administration of the Company’s healthcare plans. Expenses related to the healthcare plan premiums were $1.0 million and $2.1 million for the three and six months ended May 31, 2024, respectively, and $1.1 million and $2.3 million for the three and six months ended May 31, 2023, respectively. As of May 31, 2024 and November 30, 2023, the amount recorded in accounts payable and accrued expenses and other current liabilities in connection with this healthcare plan provider was not material.</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Subsequent Events</w:t>
      </w:r>
    </w:p>
    <w:p>
      <w:pPr>
        <w:spacing w:after="0" w:line="118" w:lineRule="exact"/>
        <w:rPr>
          <w:sz w:val="20"/>
          <w:szCs w:val="20"/>
          <w:color w:val="auto"/>
        </w:rPr>
      </w:pPr>
    </w:p>
    <w:p>
      <w:pPr>
        <w:ind w:right="240" w:firstLine="619"/>
        <w:spacing w:after="0" w:line="271" w:lineRule="auto"/>
        <w:rPr>
          <w:sz w:val="20"/>
          <w:szCs w:val="20"/>
          <w:color w:val="auto"/>
        </w:rPr>
      </w:pPr>
      <w:r>
        <w:rPr>
          <w:rFonts w:ascii="Times New Roman" w:cs="Times New Roman" w:eastAsia="Times New Roman" w:hAnsi="Times New Roman"/>
          <w:sz w:val="17"/>
          <w:szCs w:val="17"/>
          <w:color w:val="auto"/>
        </w:rPr>
        <w:t>Refer to Note 1 for more information on the Company's Automatic Shelf Registration Statement filed in June 2024 and Equity Distribution Agreement entered into in July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14" w:lineRule="exact"/>
        <w:rPr>
          <w:sz w:val="20"/>
          <w:szCs w:val="20"/>
          <w:color w:val="auto"/>
        </w:rPr>
      </w:pPr>
    </w:p>
    <w:p>
      <w:pPr>
        <w:ind w:firstLine="619"/>
        <w:spacing w:after="0" w:line="204" w:lineRule="exact"/>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(1) the unaudited condensed consolidated financial statements and the related notes included in Part I, Item 1 of this Quarterly Report on Form 10</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Q and (2) the audited financial statements and related notes and management’s discussion and analysis of financial condition and results of operations for the fiscal year ended November 30, 2023 included in our Annual Report on Form 10</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K filed on February 15, 2024.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We are a clinical stage biopharmaceutical company focused on the discovery, development and commercialization of innovative small molecules and antibody therapies based on the modulation of cellular protein levels as a novel treatment approach for cancer, inflammatory conditions and other challenging diseases. Leveraging our extensive expertise in E3 ligases together with our proprietary DNA-encoded libraries, we have built DELigase, an integrated discovery platform to identify and advance novel drug candidates targeting E3 ligases, a broad class of enzymes that can modulate proteins within the cell. Our drug discovery approach is to either harness or inhibit the natural function of E3 ligases within the ubiquitin-proteasome system to selectively decrease or increase cellular protein levels. Our wholly owned, clinical stage pipeline includes targeted protein degraders of Bruton’s tyrosine kinase (BTK), a B-cell signaling protein, and inhibitors of Casitas B-lineage lymphoma proto-oncogene B (CBL-B), an E3 ligase that regulates activation of multiple immune cell types including T cells and NK cells. Our partnered drug discovery pipeline consists of multiple programs under collaboration agreements with Gilead Sciences, Inc. (Gilead), Sanofi S.A. (Sanofi) and Seagen Inc. (now a part of Pfizer Inc. (Pfizer)), within which we retain certain options for co-development, co-commercialization and profit sharing in the United States for multiple drug candidates.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Targeted Protein Degradation</w:t>
      </w:r>
    </w:p>
    <w:p>
      <w:pPr>
        <w:spacing w:after="0" w:line="80" w:lineRule="exact"/>
        <w:rPr>
          <w:sz w:val="20"/>
          <w:szCs w:val="20"/>
          <w:color w:val="auto"/>
        </w:rPr>
      </w:pPr>
    </w:p>
    <w:p>
      <w:pPr>
        <w:jc w:val="both"/>
        <w:ind w:firstLine="619"/>
        <w:spacing w:after="0" w:line="230" w:lineRule="exact"/>
        <w:rPr>
          <w:sz w:val="20"/>
          <w:szCs w:val="20"/>
          <w:color w:val="auto"/>
        </w:rPr>
      </w:pPr>
      <w:r>
        <w:rPr>
          <w:rFonts w:ascii="Times New Roman" w:cs="Times New Roman" w:eastAsia="Times New Roman" w:hAnsi="Times New Roman"/>
          <w:sz w:val="17"/>
          <w:szCs w:val="17"/>
          <w:color w:val="auto"/>
        </w:rPr>
        <w:t>Our portfolio of targeted protein degraders of BTK, a 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cell signaling protein, comprises NX</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5948, an orally bioavailable BTK degrader for the treatment of relapsed or refractory B-cell malignancies and potentially autoimmune diseases, and NX</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2127, an orally bioavailable BTK degrader that also degrades cereblon neosubstrates IKZF1 (Ikaros) and IKZF3 (Aiolos) for the treatment of relapsed or refractory 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cell malignancies.</w:t>
      </w:r>
    </w:p>
    <w:p>
      <w:pPr>
        <w:spacing w:after="0" w:line="47" w:lineRule="exact"/>
        <w:rPr>
          <w:sz w:val="20"/>
          <w:szCs w:val="20"/>
          <w:color w:val="auto"/>
        </w:rPr>
      </w:pPr>
    </w:p>
    <w:p>
      <w:pPr>
        <w:ind w:right="40" w:firstLine="619"/>
        <w:spacing w:after="0" w:line="254" w:lineRule="auto"/>
        <w:rPr>
          <w:sz w:val="20"/>
          <w:szCs w:val="20"/>
          <w:color w:val="auto"/>
        </w:rPr>
      </w:pPr>
      <w:r>
        <w:rPr>
          <w:rFonts w:ascii="Times New Roman" w:cs="Times New Roman" w:eastAsia="Times New Roman" w:hAnsi="Times New Roman"/>
          <w:sz w:val="17"/>
          <w:szCs w:val="17"/>
          <w:color w:val="auto"/>
        </w:rPr>
        <w:t>NX-5948: We are currently treating patients in a Phase 1a/1b dose-escalation and cohort expansion study in patients with relapsed or refractory B-cell malignancies. In January 2024, the U.S. Food and Drug Administration (FDA) granted Fast Track designation for NX-5948 for the treatment of adult patients with relapsed or refractory chronic lymphocytic leukemia (CLL) or small lymphocytic lymphoma (SLL) after at least two lines of therapy, including a BTK inhibitor (BTKi) and a B-cell lymphoma 2 (BCL2) inhibitor.</w:t>
      </w:r>
    </w:p>
    <w:p>
      <w:pPr>
        <w:spacing w:after="0" w:line="22" w:lineRule="exact"/>
        <w:rPr>
          <w:sz w:val="20"/>
          <w:szCs w:val="20"/>
          <w:color w:val="auto"/>
        </w:rPr>
      </w:pPr>
    </w:p>
    <w:p>
      <w:pPr>
        <w:ind w:right="40" w:firstLine="619"/>
        <w:spacing w:after="0" w:line="212" w:lineRule="exact"/>
        <w:rPr>
          <w:sz w:val="20"/>
          <w:szCs w:val="20"/>
          <w:color w:val="auto"/>
        </w:rPr>
      </w:pPr>
      <w:r>
        <w:rPr>
          <w:rFonts w:ascii="Times New Roman" w:cs="Times New Roman" w:eastAsia="Times New Roman" w:hAnsi="Times New Roman"/>
          <w:sz w:val="17"/>
          <w:szCs w:val="17"/>
          <w:color w:val="auto"/>
        </w:rPr>
        <w:t>NX</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2127: We are currently treating patients in a Phase 1a/1b dose-escalation and cohort expansion study of NX-2127 in patients with relapsed or refractory B-cell malignancies. We have initiated Phase 1b expansion cohorts for patients with relapsed CLL, diffuse large B-cell lymphoma (DLBCL) and mantle cell lymphoma (MCL). In March 2024, the FDA lifted the partial clinical hold on the U.S. Phase 1a/1b study evaluating NX-2127 in adults with relapsed/refractory B-cell malignancies. We plan to reinitiate enrollment with the new chirally controlled drug substance in a standard dose escalation study within the current Phase 1a/1b trial.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Targeted Protein Elevation</w:t>
      </w:r>
    </w:p>
    <w:p>
      <w:pPr>
        <w:spacing w:after="0" w:line="120" w:lineRule="exact"/>
        <w:rPr>
          <w:sz w:val="20"/>
          <w:szCs w:val="20"/>
          <w:color w:val="auto"/>
        </w:rPr>
      </w:pPr>
    </w:p>
    <w:p>
      <w:pPr>
        <w:ind w:right="20" w:firstLine="619"/>
        <w:spacing w:after="0" w:line="271" w:lineRule="auto"/>
        <w:rPr>
          <w:sz w:val="20"/>
          <w:szCs w:val="20"/>
          <w:color w:val="auto"/>
        </w:rPr>
      </w:pPr>
      <w:r>
        <w:rPr>
          <w:rFonts w:ascii="Times New Roman" w:cs="Times New Roman" w:eastAsia="Times New Roman" w:hAnsi="Times New Roman"/>
          <w:sz w:val="17"/>
          <w:szCs w:val="17"/>
          <w:color w:val="auto"/>
        </w:rPr>
        <w:t>Our targeted protein elevation program includes NX-1607, an orally bioavailable inhibitor of CBL-B, an E3 ligase that regulates the activation of multiple immune cell types including T cells and NK cells. NX-1607 is targeted for immuno-oncology indications.</w:t>
      </w:r>
    </w:p>
    <w:p>
      <w:pPr>
        <w:spacing w:after="0" w:line="61" w:lineRule="exact"/>
        <w:rPr>
          <w:sz w:val="20"/>
          <w:szCs w:val="20"/>
          <w:color w:val="auto"/>
        </w:rPr>
      </w:pPr>
    </w:p>
    <w:p>
      <w:pPr>
        <w:ind w:right="260" w:firstLine="619"/>
        <w:spacing w:after="0" w:line="248" w:lineRule="auto"/>
        <w:rPr>
          <w:sz w:val="20"/>
          <w:szCs w:val="20"/>
          <w:color w:val="auto"/>
        </w:rPr>
      </w:pPr>
      <w:r>
        <w:rPr>
          <w:rFonts w:ascii="Times New Roman" w:cs="Times New Roman" w:eastAsia="Times New Roman" w:hAnsi="Times New Roman"/>
          <w:sz w:val="17"/>
          <w:szCs w:val="17"/>
          <w:color w:val="auto"/>
        </w:rPr>
        <w:t>We are currently treating patients in a Phase 1a/1b dose-escalation and cohort expansion study of NX-1607 in patients with a range of oncology indications. This study also includes a cohort within the Phase 1a dose escalation study testing NX-1607 in combination with paclitaxel, a taxane chemotherapy commonly used across a range of relapsed and refractory solid tumor indications. NX-1607 was awarded an Innovative Passport from the UK Medicines and Healthcare products Regulatory Agency to accelerate time to market and facilitate patient access to novel drugs to treat serious and life-threatening diseases.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Drug Discovery Pipeline</w:t>
      </w:r>
    </w:p>
    <w:p>
      <w:pPr>
        <w:spacing w:after="0" w:line="120" w:lineRule="exact"/>
        <w:rPr>
          <w:sz w:val="20"/>
          <w:szCs w:val="20"/>
          <w:color w:val="auto"/>
        </w:rPr>
      </w:pPr>
    </w:p>
    <w:p>
      <w:pPr>
        <w:ind w:right="20" w:firstLine="619"/>
        <w:spacing w:after="0" w:line="254" w:lineRule="auto"/>
        <w:rPr>
          <w:sz w:val="20"/>
          <w:szCs w:val="20"/>
          <w:color w:val="auto"/>
        </w:rPr>
      </w:pPr>
      <w:r>
        <w:rPr>
          <w:rFonts w:ascii="Times New Roman" w:cs="Times New Roman" w:eastAsia="Times New Roman" w:hAnsi="Times New Roman"/>
          <w:sz w:val="17"/>
          <w:szCs w:val="17"/>
          <w:color w:val="auto"/>
        </w:rPr>
        <w:t>In addition to our clinical stage drug candidates, we are extending our protein modulation portfolio, both on our own and with partners by developing new targeted protein degraders and ligase inhibitors for a number of targets for which we believe the protein modulation modality can be clinically advantageous over existing therapies. These existing and future programs may have the potential to address diseases with significant unmet need, including cancer, autoimmunity, inflammation, and other challenging diseases.</w:t>
      </w:r>
    </w:p>
    <w:p>
      <w:pPr>
        <w:spacing w:after="0" w:line="62" w:lineRule="exact"/>
        <w:rPr>
          <w:sz w:val="20"/>
          <w:szCs w:val="20"/>
          <w:color w:val="auto"/>
        </w:rPr>
      </w:pPr>
    </w:p>
    <w:p>
      <w:pPr>
        <w:ind w:firstLine="619"/>
        <w:spacing w:after="0" w:line="253" w:lineRule="auto"/>
        <w:rPr>
          <w:sz w:val="20"/>
          <w:szCs w:val="20"/>
          <w:color w:val="auto"/>
        </w:rPr>
      </w:pPr>
      <w:r>
        <w:rPr>
          <w:rFonts w:ascii="Times New Roman" w:cs="Times New Roman" w:eastAsia="Times New Roman" w:hAnsi="Times New Roman"/>
          <w:sz w:val="17"/>
          <w:szCs w:val="17"/>
          <w:color w:val="auto"/>
        </w:rPr>
        <w:t>We have entered into several revenue generating collaborations with large biopharmaceutical companies, including with Gilead, Sanofi and Seagen (now a part of Pfizer), to leverage our DELigase platform for drug discovery. These collaborations allow us to further advance our future pipeline with multiple currently identified targets included in these collaborations. In aggregate, we have received $430.0 million in non-dilutive financing from our collaborators to date, and as of May 31, 2024, we are eligible to receive up to $7.6 billion in potential future fees and milestone payments, as well as royalties on future product sales. We retain certain options for co-development, co-commercialization and profit sharing in the United States for multiple drug candidates, pursuant to these collaborations.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Collaborations Agreements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Gilead</w:t>
      </w:r>
    </w:p>
    <w:p>
      <w:pPr>
        <w:spacing w:after="0" w:line="120"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In June 2019, we entered into a global strategic collaboration agreement with Gilead (as subsequently amended, the Gilead Agreement) to discover, develop and commercialize a pipeline of targeted protein degradation drugs for patients with cancer and other challenging diseases using our DELigase platform to identify novel agents that utilize E3 ligases to induce degradation of five specified drug targets. In August 2019 and September 2022, we and Gilead entered into the First Amendment and the Second Amendment, respectively, to the Gilead Agreement to clarify certain language of the Gilead Agreement. These amendments had no impact on revenue recognition. In February and March 2024, as part of the existing collaboration agreement, Gilead elected to extend the five-year initial research term by two years for certain drug targets (Gilead Research Term Extension). The Gilead Research Term Extension triggered a $15.0 million payment that we received in the second quarter of fiscal year 2024.</w:t>
      </w:r>
    </w:p>
    <w:p>
      <w:pPr>
        <w:spacing w:after="0" w:line="69"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17"/>
          <w:szCs w:val="17"/>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We retain the option to co-develop and co-promote, under a profit share structure, up to two drug candidates in the United States, provided that we may only exercise such option once per licensed product and Gilead retains the right to veto our option selection for any one drug candidate of its choice. The collaboration excludes our current internal protein degradation programs for which we retain all rights, and also excludes our future internal programs, provided that we have distinguished future programs as excluded from the scope of the collaboration. In March 2023, Gilead exercised the option, which did not represent a material right at contract inception, since it was not offered for free or at a discount, to exclusively license one target (Gilead License Option Exercise), the first development candidate resulting from the Gilead Agreement. Pursuant to the Gilead Agreement, we received a license option exercise payment of $20.0 million in April 2023 for the Gilead License Option Exercise. The license to the functional intellectual property and all goods and services related to the Gilead License Option Exercise were transferred during the second quarter of fiscal year 2023.</w:t>
      </w:r>
    </w:p>
    <w:p>
      <w:pPr>
        <w:spacing w:after="0" w:line="85"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Over time, Gilead may elect to replace the initial drug targets with other drug targets. For drug targets that are subject to the collaboration, we are obligated to use commercially reasonable efforts to undertake a research program in accordance with a research plan agreed to by the parties and established on a target-by-target basis. We have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we exercise our co-development and co-promotion option. For those programs that we exercise our option to co-develop and co-promote, we and Gilead will split U.S. development costs as well as U.S. profits and losses evenly, and we will be eligible to receive royalties on net ex-U.S. sales and reduced milestone payments.</w:t>
      </w:r>
    </w:p>
    <w:p>
      <w:pPr>
        <w:spacing w:after="0" w:line="69"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Upon signing the Gilead Agreement, Gilead paid us an upfront payment of $45.0 million, plus $3.0 million in additional fees. In addition, from the signing of the Gilead Agreement to May 31, 2024, we have received payments of $47.0 million for research milestones and additional payments, $20.0 million for a license option exercise payment and $15.0 million in research term extension fees. As of May 31, 2024, we are eligible to receive up to approximately</w:t>
      </w:r>
    </w:p>
    <w:p>
      <w:pPr>
        <w:spacing w:after="0" w:line="1"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17"/>
          <w:szCs w:val="17"/>
          <w:color w:val="auto"/>
        </w:rPr>
        <w:t>$1.8 billion in total additional payments based on certain additional fees, payments and the successful completion of certain preclinical, clinical, development and sales milestones. We also are eligible to receive mid-single digit to low tens percentage tiered royalties on annual net sales from any commercial products directed to the optioned collaboration targets, subject to certain reductions and excluding sales in the United States of any products for which we exercise our option to co-develop and co-promote, for which the parties share profits and losses evenly.</w:t>
      </w:r>
    </w:p>
    <w:p>
      <w:pPr>
        <w:spacing w:after="0" w:line="200" w:lineRule="exact"/>
        <w:rPr>
          <w:sz w:val="20"/>
          <w:szCs w:val="20"/>
          <w:color w:val="auto"/>
        </w:rPr>
      </w:pPr>
    </w:p>
    <w:p>
      <w:pPr>
        <w:spacing w:after="0" w:line="34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our exercise of our option to co-develop and co-promote such licensed product. If Gilead does not exercise an option to license a drug candidate, then the Gilead Agreement will terminate at the end of the last to expire option period.</w:t>
      </w:r>
    </w:p>
    <w:p>
      <w:pPr>
        <w:spacing w:after="0" w:line="69" w:lineRule="exact"/>
        <w:rPr>
          <w:sz w:val="20"/>
          <w:szCs w:val="20"/>
          <w:color w:val="auto"/>
        </w:rPr>
      </w:pPr>
    </w:p>
    <w:p>
      <w:pPr>
        <w:jc w:val="both"/>
        <w:ind w:right="140" w:firstLine="619"/>
        <w:spacing w:after="0" w:line="262" w:lineRule="auto"/>
        <w:rPr>
          <w:sz w:val="20"/>
          <w:szCs w:val="20"/>
          <w:color w:val="auto"/>
        </w:rPr>
      </w:pPr>
      <w:r>
        <w:rPr>
          <w:rFonts w:ascii="Times New Roman" w:cs="Times New Roman" w:eastAsia="Times New Roman" w:hAnsi="Times New Roman"/>
          <w:sz w:val="17"/>
          <w:szCs w:val="17"/>
          <w:color w:val="auto"/>
        </w:rPr>
        <w:t>We recognized collaboration revenue from the Gilead Agreement of $4.9 million and $9.5 million during the three and six months ended May 31, 2024, respectively, and $5.7 million and $13.1 million during the three and six months ended May 31, 2023, respectively. As of May 31, 2024 and November 30, 2023, there was $15.5 million and $10.0 million, respectively, of deferred revenue related to payments received by us under the Gilead Agreement.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Sanofi</w:t>
      </w:r>
    </w:p>
    <w:p>
      <w:pPr>
        <w:spacing w:after="0" w:line="120" w:lineRule="exact"/>
        <w:rPr>
          <w:sz w:val="20"/>
          <w:szCs w:val="20"/>
          <w:color w:val="auto"/>
        </w:rPr>
      </w:pPr>
    </w:p>
    <w:p>
      <w:pPr>
        <w:ind w:right="20" w:firstLine="619"/>
        <w:spacing w:after="0" w:line="253" w:lineRule="auto"/>
        <w:rPr>
          <w:sz w:val="20"/>
          <w:szCs w:val="20"/>
          <w:color w:val="auto"/>
        </w:rPr>
      </w:pPr>
      <w:r>
        <w:rPr>
          <w:rFonts w:ascii="Times New Roman" w:cs="Times New Roman" w:eastAsia="Times New Roman" w:hAnsi="Times New Roman"/>
          <w:sz w:val="17"/>
          <w:szCs w:val="17"/>
          <w:color w:val="auto"/>
        </w:rPr>
        <w:t>In December 2019, we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our DELigase platform to identify small molecules designed to induce degradation of three specified initial drug targets. In January 2021, as part of the existing Sanofi Agreement, Sanofi paid us $22.0 million to exercise its option to expand the number of targets in the Sanofi Agreement from three to a total of five targets.</w:t>
      </w:r>
    </w:p>
    <w:p>
      <w:pPr>
        <w:spacing w:after="0" w:line="65"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17"/>
          <w:szCs w:val="17"/>
          <w:color w:val="auto"/>
        </w:rPr>
        <w:t>In January 2021, we and Sanofi entered into the First Amendment to the Sanofi Agreement to modify the research term on all targets. In December 2021, we and Sanofi entered into the Second Amendment to the Sanofi Agreement to extend the substitution deadline on certain targets. In July 2022, we and Sanofi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and November 2023, we and Sanofi entered into the Fourth Amendment and Fifth Amendment, respectively, to the Sanofi Agreement to modify the research plan for certain targets, which had no impact on revenue recognition. In March 2024, we and Sanofi entered into the Sixth Amendment to the Sanofi Agreement to extend the research term for the collaboration target STAT6 (signal transducer and activator of transcription 6), a key drug target in type 2 inflammation, by two years, which is expected to increase overall forecasted costs and have an impact on revenue recognition.</w:t>
      </w:r>
    </w:p>
    <w:p>
      <w:pPr>
        <w:spacing w:after="0" w:line="72"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Under the Sanofi Agreement, Sanofi has exclusive rights and is responsible for the clinical development, commercialization and manufacture of drug candidates resulting from the collaboration while we retain the option to co-develop, co-promote and co-commercialize all drug candidates in the United States directed to up to two targets, one of which must be selected from a list of targets designated at the execution of the Sanofi Agreement or any replacement of such targets, and one of which must be selected from targets identified by Sanofi as part of their January 2021 expansion. Our right to exercise our option to co-develop, co-promote and co-commercialize a given target is dependent on our ability to demonstrate, within a given timeframe, that we have sufficient cash resources and personnel to commercialize the product. The collaboration excludes our current internal protein degradation programs for which we retain all rights, and also excludes our future internal programs, provided that we distinguished future programs as excluded from the scope of the collaboration.</w:t>
      </w:r>
    </w:p>
    <w:p>
      <w:pPr>
        <w:spacing w:after="0" w:line="69"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For drug targets that are subject to the collaboration, we have primary responsibility for conducting preclinical research activities (including target validation, drug discovery, identification or synthesis) in accordance with the applicable research plan agreed to by the parties and established on a target-by-target basis. We are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we exercise our co-development and co-promotion option. For those programs that we exercise our option to co-develop, co-promote and co-commercialize, we will be responsible for a portion of the U.S. development costs, and the parties will split U.S. profits and losses evenly, and we will be eligible to receive royalties on ex-U.S. net sales and reduced milestone payments on such optioned products.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firstLine="619"/>
        <w:spacing w:after="0" w:line="248" w:lineRule="auto"/>
        <w:rPr>
          <w:sz w:val="20"/>
          <w:szCs w:val="20"/>
          <w:color w:val="auto"/>
        </w:rPr>
      </w:pPr>
      <w:r>
        <w:rPr>
          <w:rFonts w:ascii="Times New Roman" w:cs="Times New Roman" w:eastAsia="Times New Roman" w:hAnsi="Times New Roman"/>
          <w:sz w:val="17"/>
          <w:szCs w:val="17"/>
          <w:color w:val="auto"/>
        </w:rPr>
        <w:t>Upon signing the Sanofi Agreement, Sanofi paid us an upfront payment of $55.0 million. Subsequently, in January 2021, Sanofi paid us an additional $22.0 million to exercise its option to expand the number of targets beyond the initial targets included in the collaboration. In addition, from the signing of the Sanofi Agreement to May 31, 2024, we received payments of $13.0 million for research milestones. As of May 31, 2024, we are eligible to receive up to approximately $2.4 billion in total additional payments based on certain additional fees, payments and the successful completion of certain research development, regulatory and sales milestones. We are also eligible to receive mid-single digit to low teen percentage tiered royalties on annual net sales of any commercial products that may result from the collaboration, subject to certain reductions and excluding sales in the United States of any products for which we exercise our option to co-develop and co-promote, for which the parties share profits and losses evenly.</w:t>
      </w:r>
    </w:p>
    <w:p>
      <w:pPr>
        <w:spacing w:after="0" w:line="69" w:lineRule="exact"/>
        <w:rPr>
          <w:sz w:val="20"/>
          <w:szCs w:val="20"/>
          <w:color w:val="auto"/>
        </w:rPr>
      </w:pPr>
    </w:p>
    <w:p>
      <w:pPr>
        <w:ind w:right="120" w:firstLine="619"/>
        <w:spacing w:after="0" w:line="254" w:lineRule="auto"/>
        <w:rPr>
          <w:sz w:val="20"/>
          <w:szCs w:val="20"/>
          <w:color w:val="auto"/>
        </w:rPr>
      </w:pPr>
      <w:r>
        <w:rPr>
          <w:rFonts w:ascii="Times New Roman" w:cs="Times New Roman" w:eastAsia="Times New Roman" w:hAnsi="Times New Roman"/>
          <w:sz w:val="17"/>
          <w:szCs w:val="17"/>
          <w:color w:val="auto"/>
        </w:rPr>
        <w:t>Subject to earlier expiration in certain circumstances, the Sanofi Agreement expires on a licensed product-by-licensed product or profit-shared licensed product-by-profit-shared licensed product basis and country-by-country basis upon on the later of (1) the expiration of the last-to-expire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Sanofi Agreement.</w:t>
      </w:r>
    </w:p>
    <w:p>
      <w:pPr>
        <w:spacing w:after="0" w:line="75" w:lineRule="exact"/>
        <w:rPr>
          <w:sz w:val="20"/>
          <w:szCs w:val="20"/>
          <w:color w:val="auto"/>
        </w:rPr>
      </w:pPr>
    </w:p>
    <w:p>
      <w:pPr>
        <w:jc w:val="both"/>
        <w:ind w:right="60" w:firstLine="619"/>
        <w:spacing w:after="0" w:line="254" w:lineRule="auto"/>
        <w:rPr>
          <w:sz w:val="20"/>
          <w:szCs w:val="20"/>
          <w:color w:val="auto"/>
        </w:rPr>
      </w:pPr>
      <w:r>
        <w:rPr>
          <w:rFonts w:ascii="Times New Roman" w:cs="Times New Roman" w:eastAsia="Times New Roman" w:hAnsi="Times New Roman"/>
          <w:sz w:val="17"/>
          <w:szCs w:val="17"/>
          <w:color w:val="auto"/>
        </w:rPr>
        <w:t>We recognized collaboration revenue from the Sanofi Agreement of $2.0 million and $10.3 million during the three and six months ended May 31, 2024, respectively, and $5.0 million and $10.3 million during the three and six months ended May 31, 2023, respectively. As of May 31, 2024 and November 30, 2023, there was $20.5 million and $24.9 million, respectively, of deferred revenue related to payments received by us under the Sanofi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Pfizer</w:t>
      </w:r>
    </w:p>
    <w:p>
      <w:pPr>
        <w:spacing w:after="0" w:line="120" w:lineRule="exact"/>
        <w:rPr>
          <w:sz w:val="20"/>
          <w:szCs w:val="20"/>
          <w:color w:val="auto"/>
        </w:rPr>
      </w:pPr>
    </w:p>
    <w:p>
      <w:pPr>
        <w:ind w:right="120" w:firstLine="619"/>
        <w:spacing w:after="0" w:line="254" w:lineRule="auto"/>
        <w:rPr>
          <w:sz w:val="20"/>
          <w:szCs w:val="20"/>
          <w:color w:val="auto"/>
        </w:rPr>
      </w:pPr>
      <w:r>
        <w:rPr>
          <w:rFonts w:ascii="Times New Roman" w:cs="Times New Roman" w:eastAsia="Times New Roman" w:hAnsi="Times New Roman"/>
          <w:sz w:val="17"/>
          <w:szCs w:val="17"/>
          <w:color w:val="auto"/>
        </w:rPr>
        <w:t>In September 2023, we entered into a strategic collaboration with Seagen Inc. (now a part of Pfizer Inc.) (the Pfizer Agreement) to develop a suite of targeted protein degraders against multiple targets nominated by Pfizer that are suitable for antibody conjugation. Pfizer will be responsible for conjugating these degraders to antibodies to make Degrader-Antibody Conjugates (DACs), a new class of medicines for use in cancer treatment, and advancing these DAC drug candidates through preclinical and clinical development and commercialization.</w:t>
      </w:r>
    </w:p>
    <w:p>
      <w:pPr>
        <w:spacing w:after="0" w:line="62" w:lineRule="exact"/>
        <w:rPr>
          <w:sz w:val="20"/>
          <w:szCs w:val="20"/>
          <w:color w:val="auto"/>
        </w:rPr>
      </w:pPr>
    </w:p>
    <w:p>
      <w:pPr>
        <w:ind w:right="40" w:firstLine="619"/>
        <w:spacing w:after="0" w:line="254" w:lineRule="auto"/>
        <w:rPr>
          <w:sz w:val="20"/>
          <w:szCs w:val="20"/>
          <w:color w:val="auto"/>
        </w:rPr>
      </w:pPr>
      <w:r>
        <w:rPr>
          <w:rFonts w:ascii="Times New Roman" w:cs="Times New Roman" w:eastAsia="Times New Roman" w:hAnsi="Times New Roman"/>
          <w:sz w:val="17"/>
          <w:szCs w:val="17"/>
          <w:color w:val="auto"/>
        </w:rPr>
        <w:t>Under the Pfizer Agreement, Pfizer has the option to obtain exclusive licenses to develop and commercialize certain degraders, while we retain an option for U.S. profit sharing and co-promotion on two products arising from the collaboration.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62" w:lineRule="exact"/>
        <w:rPr>
          <w:sz w:val="20"/>
          <w:szCs w:val="20"/>
          <w:color w:val="auto"/>
        </w:rPr>
      </w:pPr>
    </w:p>
    <w:p>
      <w:pPr>
        <w:ind w:right="60" w:firstLine="619"/>
        <w:spacing w:after="0" w:line="254" w:lineRule="auto"/>
        <w:rPr>
          <w:sz w:val="20"/>
          <w:szCs w:val="20"/>
          <w:color w:val="auto"/>
        </w:rPr>
      </w:pPr>
      <w:r>
        <w:rPr>
          <w:rFonts w:ascii="Times New Roman" w:cs="Times New Roman" w:eastAsia="Times New Roman" w:hAnsi="Times New Roman"/>
          <w:sz w:val="17"/>
          <w:szCs w:val="17"/>
          <w:color w:val="auto"/>
        </w:rPr>
        <w:t>For the targets nominated by Pfizer under the collaboration, we shall use commercially reasonable efforts to identify, synthesize, characterize and deliver targeted protein degraders that selectively bind to and degrade such targets. Development of licensed degraders, with the exception of licensed products for which we exercised our profit-share options, will be at Pfizer’s sole cost and expense. For the profit-share products, the parties will share net profits and net losses and global development costs, and we will be eligible to receive royalty and milestone payments on such optioned products.</w:t>
      </w:r>
    </w:p>
    <w:p>
      <w:pPr>
        <w:spacing w:after="0" w:line="75" w:lineRule="exact"/>
        <w:rPr>
          <w:sz w:val="20"/>
          <w:szCs w:val="20"/>
          <w:color w:val="auto"/>
        </w:rPr>
      </w:pPr>
    </w:p>
    <w:p>
      <w:pPr>
        <w:jc w:val="both"/>
        <w:ind w:right="180" w:firstLine="619"/>
        <w:spacing w:after="0" w:line="254" w:lineRule="auto"/>
        <w:rPr>
          <w:sz w:val="20"/>
          <w:szCs w:val="20"/>
          <w:color w:val="auto"/>
        </w:rPr>
      </w:pPr>
      <w:r>
        <w:rPr>
          <w:rFonts w:ascii="Times New Roman" w:cs="Times New Roman" w:eastAsia="Times New Roman" w:hAnsi="Times New Roman"/>
          <w:sz w:val="17"/>
          <w:szCs w:val="17"/>
          <w:color w:val="auto"/>
        </w:rPr>
        <w:t>Under the terms of the Pfizer Agreement, we received an upfront payment of $60.0 million. In addition, we achieved a research milestone in May 2024 and expect to receive a payment of $5.0 million in the third quarter of fiscal year 2024. We are eligible to receive up to approximately $3.4 billion in contingent payments based on specified research, development, regulatory and commercial milestones across multiple programs. We are also eligible for mid-single to low double digit percentage tiered royalties on future sales.</w:t>
      </w:r>
    </w:p>
    <w:p>
      <w:pPr>
        <w:spacing w:after="0" w:line="62"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Subject to the exceptions described in the Pfizer Agreement, the Pfizer Agreement expires upon the first to occur of (1) the expiration of the last-to-expire option exercise period under the Pfizer Agreement if no such option has been exercised prior to such expiration and (2) the expiration of the last-to-expire royalty term under the Pfizer Agreement.</w:t>
      </w:r>
    </w:p>
    <w:p>
      <w:pPr>
        <w:spacing w:after="0" w:line="56" w:lineRule="exact"/>
        <w:rPr>
          <w:sz w:val="20"/>
          <w:szCs w:val="20"/>
          <w:color w:val="auto"/>
        </w:rPr>
      </w:pPr>
    </w:p>
    <w:p>
      <w:pPr>
        <w:ind w:right="180" w:firstLine="619"/>
        <w:spacing w:after="0" w:line="254" w:lineRule="auto"/>
        <w:rPr>
          <w:sz w:val="20"/>
          <w:szCs w:val="20"/>
          <w:color w:val="auto"/>
        </w:rPr>
      </w:pPr>
      <w:r>
        <w:rPr>
          <w:rFonts w:ascii="Times New Roman" w:cs="Times New Roman" w:eastAsia="Times New Roman" w:hAnsi="Times New Roman"/>
          <w:sz w:val="17"/>
          <w:szCs w:val="17"/>
          <w:color w:val="auto"/>
        </w:rPr>
        <w:t>We recognized collaboration revenue from the Pfizer Agreement of $5.2 million and $8.9 million during the three and six months ended May 31, 2024, respectively. As of May 31, 2024 and November 30, 2023, there was $54.4 million and $58.3 million, respectively, of deferred revenue related to payments received by us under the Pfizer Agreement.</w:t>
      </w:r>
    </w:p>
    <w:p>
      <w:pPr>
        <w:spacing w:after="0" w:line="200" w:lineRule="exact"/>
        <w:rPr>
          <w:sz w:val="20"/>
          <w:szCs w:val="20"/>
          <w:color w:val="auto"/>
        </w:rPr>
      </w:pPr>
    </w:p>
    <w:p>
      <w:pPr>
        <w:spacing w:after="0" w:line="34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Overview</w:t>
      </w:r>
    </w:p>
    <w:p>
      <w:pPr>
        <w:spacing w:after="0" w:line="118" w:lineRule="exact"/>
        <w:rPr>
          <w:sz w:val="20"/>
          <w:szCs w:val="20"/>
          <w:color w:val="auto"/>
        </w:rPr>
      </w:pPr>
    </w:p>
    <w:p>
      <w:pPr>
        <w:ind w:right="160" w:firstLine="619"/>
        <w:spacing w:after="0" w:line="250" w:lineRule="auto"/>
        <w:rPr>
          <w:sz w:val="20"/>
          <w:szCs w:val="20"/>
          <w:color w:val="auto"/>
        </w:rPr>
      </w:pPr>
      <w:r>
        <w:rPr>
          <w:rFonts w:ascii="Times New Roman" w:cs="Times New Roman" w:eastAsia="Times New Roman" w:hAnsi="Times New Roman"/>
          <w:sz w:val="17"/>
          <w:szCs w:val="17"/>
          <w:color w:val="auto"/>
        </w:rPr>
        <w:t>Since the commencement of our operations, we have devoted substantially all of our resources to conducting research and development activities, establishing and maintaining our intellectual property portfolio, establishing our corporate infrastructure, raising capital and providing general and administrative support for these operations. We have funded our operations to date primarily from proceeds received under collaboration and license agreements with Celgene Corporation, Gilead, Sanofi and Pfizer and the issuance and sale of common stock, redeemable convertible preferred stock and pre-funded warrants. We do not expect to generate product revenue unless and until we successfully develop and obtain approval for the commercialization of a drug candidate, and we cannot assure you that we will ever generate significant revenue or profits.</w:t>
      </w:r>
    </w:p>
    <w:p>
      <w:pPr>
        <w:spacing w:after="0" w:line="67" w:lineRule="exact"/>
        <w:rPr>
          <w:sz w:val="20"/>
          <w:szCs w:val="20"/>
          <w:color w:val="auto"/>
        </w:rPr>
      </w:pPr>
    </w:p>
    <w:p>
      <w:pPr>
        <w:ind w:right="140" w:firstLine="619"/>
        <w:spacing w:after="0" w:line="254" w:lineRule="auto"/>
        <w:rPr>
          <w:sz w:val="20"/>
          <w:szCs w:val="20"/>
          <w:color w:val="auto"/>
        </w:rPr>
      </w:pPr>
      <w:r>
        <w:rPr>
          <w:rFonts w:ascii="Times New Roman" w:cs="Times New Roman" w:eastAsia="Times New Roman" w:hAnsi="Times New Roman"/>
          <w:sz w:val="17"/>
          <w:szCs w:val="17"/>
          <w:color w:val="auto"/>
        </w:rPr>
        <w:t>Since inception, we have generally incurred significant losses and negative cash flows from operations. During the six months ended May 31, 2024 and 2023, we incurred net losses of $86.1 million and $65.0 million, respectively. As of May 31, 2024, we had an accumulated deficit of $631.3 million. These losses have resulted primarily from costs incurred in connection with research and development activities and general and administrative costs associated with our operations.</w:t>
      </w:r>
    </w:p>
    <w:p>
      <w:pPr>
        <w:spacing w:after="0" w:line="62"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We do not expect to generate any revenue from commercial product sales unless and until we successfully complete development and obtain regulatory approval for one or more of our drug candidates, which we expect will take a number of years, if ever. We expect our expenses will increase substantially as we advance our drug candidates through preclinical and clinical development; enter advanced clinical development and scale up external manufacturing capabilities to supply clinical trials; apply our DELigase platform to advance additional drug candidates and expand the capabilities of our platform; seek marketing approvals for any drug candidates that successfully complete clinical trials; ultimately establish a sales, marketing and distribution infrastructure and scale up external manufacturing capabilities to commercialize any products for which we may obtain marketing approval; expand, maintain and protect our intellectual property portfolio; and hire additional clinical, regulatory, manufacturing, quality assurance and scientific personnel. Furthermore, we expect to continue incurring costs associated with operating as a public company, including significant legal, accounting, insurance, investor relations and other administrative and professional services expenses.</w:t>
      </w:r>
    </w:p>
    <w:p>
      <w:pPr>
        <w:spacing w:after="0" w:line="72" w:lineRule="exact"/>
        <w:rPr>
          <w:sz w:val="20"/>
          <w:szCs w:val="20"/>
          <w:color w:val="auto"/>
        </w:rPr>
      </w:pPr>
    </w:p>
    <w:p>
      <w:pPr>
        <w:ind w:right="160" w:firstLine="619"/>
        <w:spacing w:after="0" w:line="254" w:lineRule="auto"/>
        <w:rPr>
          <w:sz w:val="20"/>
          <w:szCs w:val="20"/>
          <w:color w:val="auto"/>
        </w:rPr>
      </w:pPr>
      <w:r>
        <w:rPr>
          <w:rFonts w:ascii="Times New Roman" w:cs="Times New Roman" w:eastAsia="Times New Roman" w:hAnsi="Times New Roman"/>
          <w:sz w:val="17"/>
          <w:szCs w:val="17"/>
          <w:color w:val="auto"/>
        </w:rPr>
        <w:t>Our net losses and cash flows may fluctuate significantly from period to period, depending on, among other things, variations in the level of expense related to the ongoing development of our drug candidates, our DELigase platform or future development programs; the delay, addition or termination of clinical trials; and the execution of any additional collaboration, licensing or similar arrangements, and the timing of payments we may make or receive under such arrangements.</w:t>
      </w:r>
    </w:p>
    <w:p>
      <w:pPr>
        <w:spacing w:after="0" w:line="75" w:lineRule="exact"/>
        <w:rPr>
          <w:sz w:val="20"/>
          <w:szCs w:val="20"/>
          <w:color w:val="auto"/>
        </w:rPr>
      </w:pPr>
    </w:p>
    <w:p>
      <w:pPr>
        <w:ind w:right="140" w:firstLine="619"/>
        <w:spacing w:after="0" w:line="248" w:lineRule="auto"/>
        <w:rPr>
          <w:sz w:val="20"/>
          <w:szCs w:val="20"/>
          <w:color w:val="auto"/>
        </w:rPr>
      </w:pPr>
      <w:r>
        <w:rPr>
          <w:rFonts w:ascii="Times New Roman" w:cs="Times New Roman" w:eastAsia="Times New Roman" w:hAnsi="Times New Roman"/>
          <w:sz w:val="17"/>
          <w:szCs w:val="17"/>
          <w:color w:val="auto"/>
        </w:rPr>
        <w:t>As of May 31, 2024, we had $452.5 million in cash, cash equivalents and marketable securities. We expect that our existing cash, cash equivalents and marketable securities are sufficient to fund our operations for at least the next 12 months. See the section titled “—Liquidity and Capital Resources” for more information. To finance our operations beyond that point, we will need to raise substantial additional capital to complete the development and commercialization of our drug candidates. Until such time as we can generate significant revenue from product sales, if ever, we expect to finance our operations through a combination of public or private equity offerings, debt financings, collaborations, strategic alliances, licensing arrangements and other marketing and distribution arrangements. In addition, we may seek additional capital due to favorable market conditions or strategic considerations, even if we believe we have sufficient funds for our current or future operating plans.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Impact of Current Global Business, Political and Macroeconomic Conditions</w:t>
      </w:r>
    </w:p>
    <w:p>
      <w:pPr>
        <w:spacing w:after="0" w:line="120"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Uncertainty in the global business, political and macroeconomic environments present significant risks to our business. We are subject to continuing risks and uncertainties, including increasing financial market volatility and uncertainty, inflation, increasing interest rates, uncertainty with respect to the federal budget and debt ceiling and potential government shutdowns related thereto, instability in the global banking system, cybersecurity events, the impact of war or military conflict, including regional conflicts around the world, and public health pandemics. We are closely monitoring the impact of these factors on all aspects of our business, including the impacts on our clinical trial patients, employees, partner, suppliers, and vendors.</w:t>
      </w:r>
    </w:p>
    <w:p>
      <w:pPr>
        <w:spacing w:after="0" w:line="69" w:lineRule="exact"/>
        <w:rPr>
          <w:sz w:val="20"/>
          <w:szCs w:val="20"/>
          <w:color w:val="auto"/>
        </w:rPr>
      </w:pPr>
    </w:p>
    <w:p>
      <w:pPr>
        <w:ind w:right="240" w:firstLine="619"/>
        <w:spacing w:after="0" w:line="254" w:lineRule="auto"/>
        <w:rPr>
          <w:sz w:val="20"/>
          <w:szCs w:val="20"/>
          <w:color w:val="auto"/>
        </w:rPr>
      </w:pPr>
      <w:r>
        <w:rPr>
          <w:rFonts w:ascii="Times New Roman" w:cs="Times New Roman" w:eastAsia="Times New Roman" w:hAnsi="Times New Roman"/>
          <w:sz w:val="17"/>
          <w:szCs w:val="17"/>
          <w:color w:val="auto"/>
        </w:rPr>
        <w:t>The ultimate extent of the impact of global economic conditions on our business remains highly uncertain and will depend on future developments and factors that continue to evolve. Most of these developments and factors are outside of our control and could exist for an extended period of time. As a result, we are subject to continuing risks and uncertainties and continue to closely monitor the impact of the current conditions on our business. For more information regarding these risks and uncertainties, see the section titled “Risk Factors” in this Quarterly Report on Form 10-Q.</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Collaboration Revenue</w:t>
      </w:r>
    </w:p>
    <w:p>
      <w:pPr>
        <w:spacing w:after="0" w:line="120" w:lineRule="exact"/>
        <w:rPr>
          <w:sz w:val="20"/>
          <w:szCs w:val="20"/>
          <w:color w:val="auto"/>
        </w:rPr>
      </w:pPr>
    </w:p>
    <w:p>
      <w:pPr>
        <w:ind w:right="260" w:firstLine="619"/>
        <w:spacing w:after="0" w:line="271" w:lineRule="auto"/>
        <w:rPr>
          <w:sz w:val="20"/>
          <w:szCs w:val="20"/>
          <w:color w:val="auto"/>
        </w:rPr>
      </w:pPr>
      <w:r>
        <w:rPr>
          <w:rFonts w:ascii="Times New Roman" w:cs="Times New Roman" w:eastAsia="Times New Roman" w:hAnsi="Times New Roman"/>
          <w:sz w:val="17"/>
          <w:szCs w:val="17"/>
          <w:color w:val="auto"/>
        </w:rPr>
        <w:t>We have no products approved for commercial sale and to date have not generated any revenue from the sale of products and do not expect to generate any revenue from the sale of products in the near future.</w:t>
      </w:r>
    </w:p>
    <w:p>
      <w:pPr>
        <w:spacing w:after="0" w:line="61"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Our revenue to date has been generated from payments received pursuant to collaboration and license arrangements with strategic partners. Collaboration revenue consists of revenue received from upfront, milestone and contingent payments received from our collaborators. We recognize revenue from upfront payments over the contract term using the cost-based input method. The material right to the two additional targets under the Sanofi Agreement was accounted for using the practical alternative and the expected consideration to be received on the options was included for revenue allocation. We expect to continue recognizing revenue from upfront payments related to our collaboration agreements using the cost-based input method in the foreseeable future.</w:t>
      </w:r>
    </w:p>
    <w:p>
      <w:pPr>
        <w:spacing w:after="0" w:line="69"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In addition to receiving upfront payments, we may also be entitled to milestones and other contingent payments upon achieving predefined objectives. If a milestone is considered probable of being reached, and if it is probable that a significant revenue reversal would not occur, the associated milestone amount would also be included in the transaction price.</w:t>
      </w:r>
    </w:p>
    <w:p>
      <w:pPr>
        <w:spacing w:after="0" w:line="56"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We expect that any collaboration revenue we generate from our current collaboration and license agreements, and from any future collaboration partners, will fluctuate in the future as a result of the timing and amount of upfront, milestones and other collaboration agreement payments and other factors.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20" w:lineRule="exact"/>
        <w:rPr>
          <w:sz w:val="20"/>
          <w:szCs w:val="20"/>
          <w:color w:val="auto"/>
        </w:rPr>
      </w:pPr>
    </w:p>
    <w:p>
      <w:pPr>
        <w:ind w:right="140" w:firstLine="619"/>
        <w:spacing w:after="0" w:line="254" w:lineRule="auto"/>
        <w:rPr>
          <w:sz w:val="20"/>
          <w:szCs w:val="20"/>
          <w:color w:val="auto"/>
        </w:rPr>
      </w:pPr>
      <w:r>
        <w:rPr>
          <w:rFonts w:ascii="Times New Roman" w:cs="Times New Roman" w:eastAsia="Times New Roman" w:hAnsi="Times New Roman"/>
          <w:sz w:val="17"/>
          <w:szCs w:val="17"/>
          <w:color w:val="auto"/>
        </w:rPr>
        <w:t>Research and development expenses consist primarily of costs incurred for the discovery and development of our drug candidates. We expense both internal and external research and development expenses to operations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the external research and development costs incurred for each of our drug candidates.</w:t>
      </w:r>
    </w:p>
    <w:p>
      <w:pPr>
        <w:spacing w:after="0" w:line="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Internal research and development costs include:</w:t>
      </w:r>
    </w:p>
    <w:p>
      <w:pPr>
        <w:spacing w:after="0" w:line="114" w:lineRule="exact"/>
        <w:rPr>
          <w:sz w:val="20"/>
          <w:szCs w:val="20"/>
          <w:color w:val="auto"/>
        </w:rPr>
      </w:pPr>
    </w:p>
    <w:p>
      <w:pPr>
        <w:ind w:left="920" w:hanging="298"/>
        <w:spacing w:after="0"/>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payroll and personnel expenses, including benefits, stock-based compensation and travel expenses, for our research and development functions; and</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of research and development equipment, allocated overhead and facilities-related expenses.</w:t>
      </w:r>
    </w:p>
    <w:p>
      <w:pPr>
        <w:spacing w:after="0" w:line="1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External research and development expenses consist primarily of costs incurred for the development of our drug candidates and may include:</w:t>
      </w:r>
    </w:p>
    <w:p>
      <w:pPr>
        <w:spacing w:after="0" w:line="114" w:lineRule="exact"/>
        <w:rPr>
          <w:sz w:val="20"/>
          <w:szCs w:val="20"/>
          <w:color w:val="auto"/>
        </w:rPr>
      </w:pPr>
    </w:p>
    <w:p>
      <w:pPr>
        <w:ind w:left="940" w:right="260" w:hanging="318"/>
        <w:spacing w:after="0" w:line="271" w:lineRule="auto"/>
        <w:tabs>
          <w:tab w:leader="none" w:pos="9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paid to third parties such as consultants, contractors and contract research organizations to conduct our clinical trials, discovery programs and preclinical studies;</w:t>
      </w:r>
    </w:p>
    <w:p>
      <w:pPr>
        <w:spacing w:after="0" w:line="48" w:lineRule="exact"/>
        <w:rPr>
          <w:rFonts w:ascii="Times New Roman" w:cs="Times New Roman" w:eastAsia="Times New Roman" w:hAnsi="Times New Roman"/>
          <w:sz w:val="17"/>
          <w:szCs w:val="17"/>
          <w:color w:val="auto"/>
        </w:rPr>
      </w:pPr>
    </w:p>
    <w:p>
      <w:pPr>
        <w:ind w:left="940" w:right="480" w:hanging="318"/>
        <w:spacing w:after="0" w:line="287" w:lineRule="auto"/>
        <w:tabs>
          <w:tab w:leader="none" w:pos="9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to acquire, develop and manufacture supplies for clinical trials and preclinical studies, including fees paid to third parties such as contract manufacturing organizations; and</w:t>
      </w:r>
    </w:p>
    <w:p>
      <w:pPr>
        <w:spacing w:after="0" w:line="3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related to laboratory supplies and services.</w:t>
      </w:r>
    </w:p>
    <w:p>
      <w:pPr>
        <w:spacing w:after="0" w:line="101"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17"/>
          <w:szCs w:val="17"/>
          <w:color w:val="auto"/>
        </w:rPr>
        <w:t>We expect our research and development expenses to increase for the foreseeable future as we conduct clinical trials for our drug candidates, continue to invest in research and development activities for discovery programs and preclinical studies, pursue regulatory approval of our drug candidates and expand our drug candidate pipeline. The process of conducting the necessary preclinical and clinical research to obtain regulatory approval is costly and time-consuming. To the extent that our drug candidates advance to and continue to advance through clinical trials, our expenses will continue increasing substantially and may become more variable. The actual probability of success for our drug candidates may be affected by a variety of factors, including the safety and efficacy of our drug candidates, investment in our clinical programs, the ability of collaborators to successfully develop our licensed drug candidates, manufacturing capability, competition with other products and commercial viability. As a result of these variables, we are unable to determine when and to what extent we will generate revenue from the commercialization and sale of our drug candidates. We may never succeed in achieving regulatory approval for any of our drug candidates.</w:t>
      </w:r>
    </w:p>
    <w:p>
      <w:pPr>
        <w:spacing w:after="0" w:line="200" w:lineRule="exact"/>
        <w:rPr>
          <w:sz w:val="20"/>
          <w:szCs w:val="20"/>
          <w:color w:val="auto"/>
        </w:rPr>
      </w:pPr>
    </w:p>
    <w:p>
      <w:pPr>
        <w:spacing w:after="0" w:line="34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120" w:lineRule="exact"/>
        <w:rPr>
          <w:sz w:val="20"/>
          <w:szCs w:val="20"/>
          <w:color w:val="auto"/>
        </w:rPr>
      </w:pPr>
    </w:p>
    <w:p>
      <w:pPr>
        <w:ind w:right="120" w:firstLine="619"/>
        <w:spacing w:after="0" w:line="249" w:lineRule="auto"/>
        <w:rPr>
          <w:sz w:val="20"/>
          <w:szCs w:val="20"/>
          <w:color w:val="auto"/>
        </w:rPr>
      </w:pPr>
      <w:r>
        <w:rPr>
          <w:rFonts w:ascii="Times New Roman" w:cs="Times New Roman" w:eastAsia="Times New Roman" w:hAnsi="Times New Roman"/>
          <w:sz w:val="17"/>
          <w:szCs w:val="17"/>
          <w:color w:val="auto"/>
        </w:rPr>
        <w:t>General and administrative expenses consist primarily of payroll and personnel expenses, including benefits and stock-based compensation, facilities-related expenses and professional fees for legal, consulting and audit and tax services. We expect our general and administrative expenses to increase for the foreseeable future as we continue to improve our infrastructure, operate as a public company and support our research and development activities. This may include expenses related to compliance with the rules and regulations of the Securities and Exchange Commission and listing standards applicable to companies listed on a national securities exchange, additional insurance, investor relations activities and other administrative and professional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and Other Income, Net</w:t>
      </w:r>
    </w:p>
    <w:p>
      <w:pPr>
        <w:spacing w:after="0" w:line="120" w:lineRule="exact"/>
        <w:rPr>
          <w:sz w:val="20"/>
          <w:szCs w:val="20"/>
          <w:color w:val="auto"/>
        </w:rPr>
      </w:pPr>
    </w:p>
    <w:p>
      <w:pPr>
        <w:ind w:right="40" w:firstLine="619"/>
        <w:spacing w:after="0" w:line="254" w:lineRule="auto"/>
        <w:rPr>
          <w:sz w:val="20"/>
          <w:szCs w:val="20"/>
          <w:color w:val="auto"/>
        </w:rPr>
      </w:pPr>
      <w:r>
        <w:rPr>
          <w:rFonts w:ascii="Times New Roman" w:cs="Times New Roman" w:eastAsia="Times New Roman" w:hAnsi="Times New Roman"/>
          <w:sz w:val="17"/>
          <w:szCs w:val="17"/>
          <w:color w:val="auto"/>
        </w:rPr>
        <w:t>Interest and other income, net primarily consists of interest earned on our cash, cash equivalents and marketable securities. We expect interest income to vary each reporting period depending on our average bank deposit, money market fund and marketable securities balances during the period and market interest rates.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20" w:lineRule="exact"/>
        <w:rPr>
          <w:sz w:val="20"/>
          <w:szCs w:val="20"/>
          <w:color w:val="auto"/>
        </w:rPr>
      </w:pPr>
    </w:p>
    <w:p>
      <w:pPr>
        <w:ind w:firstLine="619"/>
        <w:spacing w:after="0" w:line="271" w:lineRule="auto"/>
        <w:rPr>
          <w:sz w:val="20"/>
          <w:szCs w:val="20"/>
          <w:color w:val="auto"/>
        </w:rPr>
      </w:pPr>
      <w:r>
        <w:rPr>
          <w:rFonts w:ascii="Times New Roman" w:cs="Times New Roman" w:eastAsia="Times New Roman" w:hAnsi="Times New Roman"/>
          <w:sz w:val="17"/>
          <w:szCs w:val="17"/>
          <w:color w:val="auto"/>
        </w:rPr>
        <w:t>The provision for income taxes primarily consists of reserves for unrecognized tax benefits and state taxes. We have generated NOLs since inception and have established a full valuation allowance against our deferred tax assets due to the uncertainty surrounding the realization of such assets.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8" w:lineRule="exact"/>
        <w:rPr>
          <w:sz w:val="20"/>
          <w:szCs w:val="20"/>
          <w:color w:val="auto"/>
        </w:rPr>
      </w:pPr>
    </w:p>
    <w:p>
      <w:pPr>
        <w:ind w:right="100" w:firstLine="619"/>
        <w:spacing w:after="0" w:line="248"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is based on our condensed consolidated financial statements, which have been prepared in accordance with U.S. generally accepted accounting principles (U.S. GAAP).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revenue generated and expenses incurred during the reporting periods. Our estimates are based on our historical experience and on other relevant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1"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Our critical accounting policies and more significant areas involving management’s judgments and estimates used in preparation of our condensed consolidated financial statements are discussed in the section titled “Management’s Discussion and Analysis of Financial Condition and Results of Operations” in our Annual Report on Form 10-K for the fiscal year ended November 30, 2023. There have been no significant changes to these policies for the three and six months ended May 31, 2024.</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18" w:lineRule="exact"/>
        <w:rPr>
          <w:sz w:val="20"/>
          <w:szCs w:val="20"/>
          <w:color w:val="auto"/>
        </w:rPr>
      </w:pPr>
    </w:p>
    <w:p>
      <w:pPr>
        <w:ind w:right="220" w:firstLine="619"/>
        <w:spacing w:after="0" w:line="271" w:lineRule="auto"/>
        <w:rPr>
          <w:sz w:val="20"/>
          <w:szCs w:val="20"/>
          <w:color w:val="auto"/>
        </w:rPr>
      </w:pPr>
      <w:r>
        <w:rPr>
          <w:rFonts w:ascii="Times New Roman" w:cs="Times New Roman" w:eastAsia="Times New Roman" w:hAnsi="Times New Roman"/>
          <w:sz w:val="17"/>
          <w:szCs w:val="17"/>
          <w:color w:val="auto"/>
        </w:rPr>
        <w:t>See Note 2, “Summary of Significant Accounting Policies—Recently Adopted Accounting Pronouncements” to our condensed consolidated financial statements included elsewhere in this Quarterly Report on Form 10-Q for more information.</w:t>
      </w:r>
    </w:p>
    <w:p>
      <w:pPr>
        <w:spacing w:after="0" w:line="200" w:lineRule="exact"/>
        <w:rPr>
          <w:sz w:val="20"/>
          <w:szCs w:val="20"/>
          <w:color w:val="auto"/>
        </w:rPr>
      </w:pPr>
    </w:p>
    <w:p>
      <w:pPr>
        <w:spacing w:after="0" w:line="3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and six months ended May 31, 2024 and 2023</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results of operations for the three and six months ended May 31, 2024 and 2023 are summarized as follows (in thousands):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9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3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9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Collaboration revenue</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12,092</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10,676</w:t>
            </w:r>
          </w:p>
        </w:tc>
        <w:tc>
          <w:tcPr>
            <w:tcW w:w="8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1,416</w:t>
            </w:r>
          </w:p>
        </w:tc>
        <w:tc>
          <w:tcPr>
            <w:tcW w:w="80" w:type="dxa"/>
            <w:vAlign w:val="bottom"/>
          </w:tcPr>
          <w:p>
            <w:pPr>
              <w:spacing w:after="0"/>
              <w:rPr>
                <w:sz w:val="20"/>
                <w:szCs w:val="20"/>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28,677</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23,361</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5,316</w:t>
            </w:r>
          </w:p>
        </w:tc>
        <w:tc>
          <w:tcPr>
            <w:tcW w:w="0" w:type="dxa"/>
            <w:vAlign w:val="bottom"/>
          </w:tcPr>
          <w:p>
            <w:pPr>
              <w:spacing w:after="0"/>
              <w:rPr>
                <w:sz w:val="1"/>
                <w:szCs w:val="1"/>
                <w:color w:val="auto"/>
              </w:rPr>
            </w:pPr>
          </w:p>
        </w:tc>
      </w:tr>
      <w:tr>
        <w:trPr>
          <w:trHeight w:val="25"/>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License revenue</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0" w:type="dxa"/>
            <w:vAlign w:val="bottom"/>
          </w:tcPr>
          <w:p>
            <w:pPr>
              <w:spacing w:after="0"/>
              <w:rPr>
                <w:sz w:val="1"/>
                <w:szCs w:val="1"/>
                <w:color w:val="auto"/>
              </w:rPr>
            </w:pPr>
          </w:p>
        </w:tc>
      </w:tr>
      <w:tr>
        <w:trPr>
          <w:trHeight w:val="225"/>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12,092</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30,676</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(18,584)</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28,677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43,361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(14,684)</w:t>
            </w:r>
          </w:p>
        </w:tc>
        <w:tc>
          <w:tcPr>
            <w:tcW w:w="0" w:type="dxa"/>
            <w:vAlign w:val="bottom"/>
          </w:tcPr>
          <w:p>
            <w:pPr>
              <w:spacing w:after="0"/>
              <w:rPr>
                <w:sz w:val="1"/>
                <w:szCs w:val="1"/>
                <w:color w:val="auto"/>
              </w:rPr>
            </w:pPr>
          </w:p>
        </w:tc>
      </w:tr>
      <w:tr>
        <w:trPr>
          <w:trHeight w:val="25"/>
        </w:trPr>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45,763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7,348</w:t>
            </w:r>
          </w:p>
        </w:tc>
        <w:tc>
          <w:tcPr>
            <w:tcW w:w="0" w:type="dxa"/>
            <w:vAlign w:val="bottom"/>
          </w:tcPr>
          <w:p>
            <w:pPr>
              <w:spacing w:after="0"/>
              <w:rPr>
                <w:sz w:val="1"/>
                <w:szCs w:val="1"/>
                <w:color w:val="auto"/>
              </w:rPr>
            </w:pPr>
          </w:p>
        </w:tc>
      </w:tr>
      <w:tr>
        <w:trPr>
          <w:trHeight w:val="25"/>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2,010</w:t>
            </w:r>
          </w:p>
        </w:tc>
        <w:tc>
          <w:tcPr>
            <w:tcW w:w="0" w:type="dxa"/>
            <w:vAlign w:val="bottom"/>
          </w:tcPr>
          <w:p>
            <w:pPr>
              <w:spacing w:after="0"/>
              <w:rPr>
                <w:sz w:val="1"/>
                <w:szCs w:val="1"/>
                <w:color w:val="auto"/>
              </w:rPr>
            </w:pPr>
          </w:p>
        </w:tc>
      </w:tr>
      <w:tr>
        <w:trPr>
          <w:trHeight w:val="225"/>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60,632</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57,441</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3,191</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122,436</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113,078</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9,358</w:t>
            </w:r>
          </w:p>
        </w:tc>
        <w:tc>
          <w:tcPr>
            <w:tcW w:w="0" w:type="dxa"/>
            <w:vAlign w:val="bottom"/>
          </w:tcPr>
          <w:p>
            <w:pPr>
              <w:spacing w:after="0"/>
              <w:rPr>
                <w:sz w:val="1"/>
                <w:szCs w:val="1"/>
                <w:color w:val="auto"/>
              </w:rPr>
            </w:pPr>
          </w:p>
        </w:tc>
      </w:tr>
      <w:tr>
        <w:trPr>
          <w:trHeight w:val="25"/>
        </w:trPr>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(48,540)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(26,765)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(21,775)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(93,759)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(24,042)</w:t>
            </w:r>
          </w:p>
        </w:tc>
        <w:tc>
          <w:tcPr>
            <w:tcW w:w="0" w:type="dxa"/>
            <w:vAlign w:val="bottom"/>
          </w:tcPr>
          <w:p>
            <w:pPr>
              <w:spacing w:after="0"/>
              <w:rPr>
                <w:sz w:val="1"/>
                <w:szCs w:val="1"/>
                <w:color w:val="auto"/>
              </w:rPr>
            </w:pPr>
          </w:p>
        </w:tc>
      </w:tr>
      <w:tr>
        <w:trPr>
          <w:trHeight w:val="232"/>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and other income, net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3,168</w:t>
            </w:r>
          </w:p>
        </w:tc>
        <w:tc>
          <w:tcPr>
            <w:tcW w:w="0" w:type="dxa"/>
            <w:vAlign w:val="bottom"/>
          </w:tcPr>
          <w:p>
            <w:pPr>
              <w:spacing w:after="0"/>
              <w:rPr>
                <w:sz w:val="1"/>
                <w:szCs w:val="1"/>
                <w:color w:val="auto"/>
              </w:rPr>
            </w:pPr>
          </w:p>
        </w:tc>
      </w:tr>
      <w:tr>
        <w:trPr>
          <w:trHeight w:val="25"/>
        </w:trPr>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(44,456)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(24,277)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(20,179)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(85,884)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(20,874)</w:t>
            </w:r>
          </w:p>
        </w:tc>
        <w:tc>
          <w:tcPr>
            <w:tcW w:w="0" w:type="dxa"/>
            <w:vAlign w:val="bottom"/>
          </w:tcPr>
          <w:p>
            <w:pPr>
              <w:spacing w:after="0"/>
              <w:rPr>
                <w:sz w:val="1"/>
                <w:szCs w:val="1"/>
                <w:color w:val="auto"/>
              </w:rPr>
            </w:pPr>
          </w:p>
        </w:tc>
      </w:tr>
      <w:tr>
        <w:trPr>
          <w:trHeight w:val="232"/>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0" w:type="dxa"/>
            <w:vAlign w:val="bottom"/>
          </w:tcPr>
          <w:p>
            <w:pPr>
              <w:spacing w:after="0"/>
              <w:rPr>
                <w:sz w:val="1"/>
                <w:szCs w:val="1"/>
                <w:color w:val="auto"/>
              </w:rPr>
            </w:pPr>
          </w:p>
        </w:tc>
      </w:tr>
      <w:tr>
        <w:trPr>
          <w:trHeight w:val="25"/>
        </w:trPr>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(24,277)</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(20,269)</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(21,054)</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Collaboration Revenue</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collaboration revenue for the three and six months ended May 31, 2024 and 2023 is summarized as follows (in thousands):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9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vMerge w:val="restart"/>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3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9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Gilead</w:t>
            </w: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(3,588)</w:t>
            </w:r>
          </w:p>
        </w:tc>
        <w:tc>
          <w:tcPr>
            <w:tcW w:w="0" w:type="dxa"/>
            <w:vAlign w:val="bottom"/>
          </w:tcPr>
          <w:p>
            <w:pPr>
              <w:spacing w:after="0"/>
              <w:rPr>
                <w:sz w:val="1"/>
                <w:szCs w:val="1"/>
                <w:color w:val="auto"/>
              </w:rPr>
            </w:pPr>
          </w:p>
        </w:tc>
      </w:tr>
      <w:tr>
        <w:trPr>
          <w:trHeight w:val="232"/>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Sanofi</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5"/>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Pfizer</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5,234</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8,891</w:t>
            </w:r>
          </w:p>
        </w:tc>
        <w:tc>
          <w:tcPr>
            <w:tcW w:w="0" w:type="dxa"/>
            <w:vAlign w:val="bottom"/>
          </w:tcPr>
          <w:p>
            <w:pPr>
              <w:spacing w:after="0"/>
              <w:rPr>
                <w:sz w:val="1"/>
                <w:szCs w:val="1"/>
                <w:color w:val="auto"/>
              </w:rPr>
            </w:pPr>
          </w:p>
        </w:tc>
      </w:tr>
      <w:tr>
        <w:trPr>
          <w:trHeight w:val="251"/>
        </w:trPr>
        <w:tc>
          <w:tcPr>
            <w:tcW w:w="3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 collaboration revenue</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12,092</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10,676</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1,416</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28,677</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23,361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5,316</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Our collaboration revenue increased by $1.4 million during the three months ended May 31, 2024 compared to the three months ended May 31, 2023 primarily due to the recognition of revenue from our collaboration agreement with Pfizer that was entered into in the fourth quarter of fiscal year 2023. This increase in collaboration revenue was primarily offset by a decrease in revenue from our collaboration with Sanofi due to the extension of the research period and the associated increase in overall forecasted costs for the collaboration target STAT6 (signal transducer and activator of transcription 6), a key drug target in type 2 inflammation, pursuant to the Sixth Amendment to the Sanofi Agreement that we entered into in March 2024. The research period extension had a cumulative impact that decreased the revenue recognized in the current period. There was also a decrease in revenue from our collaboration with Gilead that was primarily due to a decrease in activity as we approach the end of the initial five year research term.</w:t>
      </w:r>
    </w:p>
    <w:p>
      <w:pPr>
        <w:spacing w:after="0" w:line="69"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Our collaboration revenue increased by $5.3 million during the six months ended May 31, 2024 compared to the six months ended May 31, 2023 primarily due to the recognition of revenue from our collaboration agreement with Pfizer that we entered into in the fourth quarter of fiscal year 2023. This increase in collaboration revenue was offset by a decrease in revenue from our collaboration with Gilead that was primarily due to a decrease in activity as we approach the end of the initial five year research term. Additionally, there was an increase in revenue from our collaboration with Sanofi due to increased effort that resulted in a higher percentage of completion of our performance obligation and the achievement of a research milestone that resulted in the cumulative catch up in revenue for activities satisfied in previous periods, offset by a decrease in revenue due to the extension of the research period for a target pursuant to the Sixth Amendment to the Sanofi Agreement that we entered into in March 2024. The research period extension had a cumulative impact that decreased the revenue recognized in the current period.</w:t>
      </w:r>
    </w:p>
    <w:p>
      <w:pPr>
        <w:spacing w:after="0" w:line="200" w:lineRule="exact"/>
        <w:rPr>
          <w:sz w:val="20"/>
          <w:szCs w:val="20"/>
          <w:color w:val="auto"/>
        </w:rPr>
      </w:pPr>
    </w:p>
    <w:p>
      <w:pPr>
        <w:spacing w:after="0" w:line="34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License Revenue</w:t>
      </w:r>
    </w:p>
    <w:p>
      <w:pPr>
        <w:spacing w:after="0" w:line="120" w:lineRule="exact"/>
        <w:rPr>
          <w:sz w:val="20"/>
          <w:szCs w:val="20"/>
          <w:color w:val="auto"/>
        </w:rPr>
      </w:pPr>
    </w:p>
    <w:p>
      <w:pPr>
        <w:ind w:right="120" w:firstLine="619"/>
        <w:spacing w:after="0" w:line="271" w:lineRule="auto"/>
        <w:rPr>
          <w:sz w:val="20"/>
          <w:szCs w:val="20"/>
          <w:color w:val="auto"/>
        </w:rPr>
      </w:pPr>
      <w:r>
        <w:rPr>
          <w:rFonts w:ascii="Times New Roman" w:cs="Times New Roman" w:eastAsia="Times New Roman" w:hAnsi="Times New Roman"/>
          <w:sz w:val="17"/>
          <w:szCs w:val="17"/>
          <w:color w:val="auto"/>
        </w:rPr>
        <w:t>Our license revenue was $20.0 million for the three and six months ended May 31, 2023 and is related to the Gilead License Option Exercise. There was no license revenue for the three and six months ended May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research and development expenses for the three and six months ended May 31, 2024 and 2023 are summarized as follows (in thousands):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9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3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9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 and related personnel costs</w:t>
            </w: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16,501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17,626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36,185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(1,615)</w:t>
            </w:r>
          </w:p>
        </w:tc>
        <w:tc>
          <w:tcPr>
            <w:tcW w:w="0" w:type="dxa"/>
            <w:vAlign w:val="bottom"/>
          </w:tcPr>
          <w:p>
            <w:pPr>
              <w:spacing w:after="0"/>
              <w:rPr>
                <w:sz w:val="1"/>
                <w:szCs w:val="1"/>
                <w:color w:val="auto"/>
              </w:rPr>
            </w:pPr>
          </w:p>
        </w:tc>
      </w:tr>
      <w:tr>
        <w:trPr>
          <w:trHeight w:val="232"/>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w:t>
            </w:r>
          </w:p>
        </w:tc>
        <w:tc>
          <w:tcPr>
            <w:tcW w:w="0" w:type="dxa"/>
            <w:vAlign w:val="bottom"/>
          </w:tcPr>
          <w:p>
            <w:pPr>
              <w:spacing w:after="0"/>
              <w:rPr>
                <w:sz w:val="1"/>
                <w:szCs w:val="1"/>
                <w:color w:val="auto"/>
              </w:rPr>
            </w:pPr>
          </w:p>
        </w:tc>
      </w:tr>
      <w:tr>
        <w:trPr>
          <w:trHeight w:val="25"/>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Supplies and contract research</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19,859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1,741</w:t>
            </w:r>
          </w:p>
        </w:tc>
        <w:tc>
          <w:tcPr>
            <w:tcW w:w="0" w:type="dxa"/>
            <w:vAlign w:val="bottom"/>
          </w:tcPr>
          <w:p>
            <w:pPr>
              <w:spacing w:after="0"/>
              <w:rPr>
                <w:sz w:val="1"/>
                <w:szCs w:val="1"/>
                <w:color w:val="auto"/>
              </w:rPr>
            </w:pPr>
          </w:p>
        </w:tc>
      </w:tr>
      <w:tr>
        <w:trPr>
          <w:trHeight w:val="232"/>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Preclinical activities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25"/>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manufacturing</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2,058</w:t>
            </w:r>
          </w:p>
        </w:tc>
        <w:tc>
          <w:tcPr>
            <w:tcW w:w="0" w:type="dxa"/>
            <w:vAlign w:val="bottom"/>
          </w:tcPr>
          <w:p>
            <w:pPr>
              <w:spacing w:after="0"/>
              <w:rPr>
                <w:sz w:val="1"/>
                <w:szCs w:val="1"/>
                <w:color w:val="auto"/>
              </w:rPr>
            </w:pPr>
          </w:p>
        </w:tc>
      </w:tr>
      <w:tr>
        <w:trPr>
          <w:trHeight w:val="232"/>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Clinical costs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3,914</w:t>
            </w:r>
          </w:p>
        </w:tc>
        <w:tc>
          <w:tcPr>
            <w:tcW w:w="0" w:type="dxa"/>
            <w:vAlign w:val="bottom"/>
          </w:tcPr>
          <w:p>
            <w:pPr>
              <w:spacing w:after="0"/>
              <w:rPr>
                <w:sz w:val="1"/>
                <w:szCs w:val="1"/>
                <w:color w:val="auto"/>
              </w:rPr>
            </w:pPr>
          </w:p>
        </w:tc>
      </w:tr>
      <w:tr>
        <w:trPr>
          <w:trHeight w:val="25"/>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Facility and other costs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1,715</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2,934</w:t>
            </w:r>
          </w:p>
        </w:tc>
        <w:tc>
          <w:tcPr>
            <w:tcW w:w="0" w:type="dxa"/>
            <w:vAlign w:val="bottom"/>
          </w:tcPr>
          <w:p>
            <w:pPr>
              <w:spacing w:after="0"/>
              <w:rPr>
                <w:sz w:val="1"/>
                <w:szCs w:val="1"/>
                <w:color w:val="auto"/>
              </w:rPr>
            </w:pPr>
          </w:p>
        </w:tc>
      </w:tr>
      <w:tr>
        <w:trPr>
          <w:trHeight w:val="251"/>
        </w:trPr>
        <w:tc>
          <w:tcPr>
            <w:tcW w:w="3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48,922</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45,763</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3,159</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98,927</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91,579</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7,348</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Our research and development expenses increased by $3.2 million and $7.3 million during the three and six months ended May 31, 2024 compared to the three and six months ended May 31, 2023, respectively. For all periods presented, there was an increase in clinical costs and contract manufacturing costs as we continued our clinical trial programs and as a result of ongoing patient enrollment and an increase in supplies to support our collaboration with Pfizer. There was also an increase in facility and other costs primarily driven by our lease in The Woodlands, Texas. There was a decrease in compensation and related personnel costs and non-cash stock-based compensation expense due to a decrease in headcount.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120" w:lineRule="exact"/>
        <w:rPr>
          <w:sz w:val="20"/>
          <w:szCs w:val="20"/>
          <w:color w:val="auto"/>
        </w:rPr>
      </w:pPr>
    </w:p>
    <w:p>
      <w:pPr>
        <w:ind w:right="20" w:firstLine="619"/>
        <w:spacing w:after="0" w:line="262" w:lineRule="auto"/>
        <w:rPr>
          <w:sz w:val="20"/>
          <w:szCs w:val="20"/>
          <w:color w:val="auto"/>
        </w:rPr>
      </w:pPr>
      <w:r>
        <w:rPr>
          <w:rFonts w:ascii="Times New Roman" w:cs="Times New Roman" w:eastAsia="Times New Roman" w:hAnsi="Times New Roman"/>
          <w:sz w:val="17"/>
          <w:szCs w:val="17"/>
          <w:color w:val="auto"/>
        </w:rPr>
        <w:t>Our general and administrative expenses increased by $32,000 during the three months ended May 31, 2024 compared to the three months ended May 31, 2023. There was an increase in local taxes related to the upfront payment received pursuant to the Pfizer Agreement, offset by a decrease in professional service costs.</w:t>
      </w:r>
    </w:p>
    <w:p>
      <w:pPr>
        <w:spacing w:after="0" w:line="56" w:lineRule="exact"/>
        <w:rPr>
          <w:sz w:val="20"/>
          <w:szCs w:val="20"/>
          <w:color w:val="auto"/>
        </w:rPr>
      </w:pPr>
    </w:p>
    <w:p>
      <w:pPr>
        <w:ind w:right="20" w:firstLine="619"/>
        <w:spacing w:after="0" w:line="254" w:lineRule="auto"/>
        <w:rPr>
          <w:sz w:val="20"/>
          <w:szCs w:val="20"/>
          <w:color w:val="auto"/>
        </w:rPr>
      </w:pPr>
      <w:r>
        <w:rPr>
          <w:rFonts w:ascii="Times New Roman" w:cs="Times New Roman" w:eastAsia="Times New Roman" w:hAnsi="Times New Roman"/>
          <w:sz w:val="17"/>
          <w:szCs w:val="17"/>
          <w:color w:val="auto"/>
        </w:rPr>
        <w:t>Our general and administrative expenses increased by $2.0 million during the six months ended May 31, 2024 compared to the six months ended May 31, 2023. There was an increase in non-cash stock-based compensation expense primarily driven by the increased issuance of restricted stock units and incentive stock options, an increase in local taxes related to the upfront payment received pursuant to the Pfizer Agreement and an increase in facility and other costs primarily driven by our lease in The Woodlands, Texas.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Liquidity</w:t>
      </w:r>
    </w:p>
    <w:p>
      <w:pPr>
        <w:spacing w:after="0" w:line="120" w:lineRule="exact"/>
        <w:rPr>
          <w:sz w:val="20"/>
          <w:szCs w:val="20"/>
          <w:color w:val="auto"/>
        </w:rPr>
      </w:pPr>
    </w:p>
    <w:p>
      <w:pPr>
        <w:ind w:right="40" w:firstLine="619"/>
        <w:spacing w:after="0" w:line="254" w:lineRule="auto"/>
        <w:rPr>
          <w:sz w:val="20"/>
          <w:szCs w:val="20"/>
          <w:color w:val="auto"/>
        </w:rPr>
      </w:pPr>
      <w:r>
        <w:rPr>
          <w:rFonts w:ascii="Times New Roman" w:cs="Times New Roman" w:eastAsia="Times New Roman" w:hAnsi="Times New Roman"/>
          <w:sz w:val="17"/>
          <w:szCs w:val="17"/>
          <w:color w:val="auto"/>
        </w:rPr>
        <w:t>In July 2020, we closed our initial public offering (IPO) and issued 12,550,000 shares of our common stock (including the exercise by the underwriters of their option to purchase an additional 1,550,000 shares of common stock in August 2020) at a price to the public of $19.00 per share for net proceeds of $218.1 million, after deducting underwriting discounts and commissions of $16.7 million and expenses of $3.6 million.</w:t>
      </w:r>
    </w:p>
    <w:p>
      <w:pPr>
        <w:spacing w:after="0" w:line="76" w:lineRule="exact"/>
        <w:rPr>
          <w:sz w:val="20"/>
          <w:szCs w:val="20"/>
          <w:color w:val="auto"/>
        </w:rPr>
      </w:pPr>
    </w:p>
    <w:p>
      <w:pPr>
        <w:ind w:right="120" w:firstLine="619"/>
        <w:spacing w:after="0" w:line="254" w:lineRule="auto"/>
        <w:rPr>
          <w:sz w:val="20"/>
          <w:szCs w:val="20"/>
          <w:color w:val="auto"/>
        </w:rPr>
      </w:pPr>
      <w:r>
        <w:rPr>
          <w:rFonts w:ascii="Times New Roman" w:cs="Times New Roman" w:eastAsia="Times New Roman" w:hAnsi="Times New Roman"/>
          <w:sz w:val="17"/>
          <w:szCs w:val="17"/>
          <w:color w:val="auto"/>
        </w:rPr>
        <w:t>In March 2021, we completed a follow-on offering and issued 5,175,000 shares of our common stock (including the exercise by the underwriters of their option to purchase an additional 675,000 shares of common stock) at a price to the public of $31.00 per share for net proceeds of $150.2 million, after deducting underwriting discounts and commissions of $9.6 million and expenses of $0.6 million.</w:t>
      </w:r>
    </w:p>
    <w:p>
      <w:pPr>
        <w:spacing w:after="0" w:line="200" w:lineRule="exact"/>
        <w:rPr>
          <w:sz w:val="20"/>
          <w:szCs w:val="20"/>
          <w:color w:val="auto"/>
        </w:rPr>
      </w:pPr>
    </w:p>
    <w:p>
      <w:pPr>
        <w:spacing w:after="0" w:line="34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17"/>
          <w:szCs w:val="17"/>
          <w:color w:val="auto"/>
        </w:rPr>
        <w:t>In August 2021, we entered into an Equity Distribution Agreement with Piper Sandler &amp; Co. (Piper Sandler) pursuant to which, from time to time, we may offer and sell through Piper Sandler up to $150.0 million of the common stock registered under our shelf registration statement on Form S-3 pursuant to one or more “at the market” offerings. We are not required to sell any shares at any time during the term of the Equity Distribution Agreement. We agreed to pay Piper Sandler a commission of 3% of the gross sales price of any shares sold pursuant to the Equity Distribution Agreement. In June 2022, we issued and sold 2,000,000 shares of common stock under the Equity Distribution Agreement at a price of $10.00 per share of common stock for net proceeds of approximately $19.3 million after deducting offering commissions and expenses paid by us. In May 2024, we issued and sold 3,194,809 shares of common stock under the Equity Distribution Agreement at various prices ranging from $15.50 to $16.00 for total net proceeds of $48.5 million, after deducting offering commissions and expenses paid by us (the May 2024 ATM Financing). As of May 31, 2024, we had $79.8 million of common stock remaining available for sale under the Equity Distribution Agreement.</w:t>
      </w:r>
    </w:p>
    <w:p>
      <w:pPr>
        <w:spacing w:after="0" w:line="72" w:lineRule="exact"/>
        <w:rPr>
          <w:sz w:val="20"/>
          <w:szCs w:val="20"/>
          <w:color w:val="auto"/>
        </w:rPr>
      </w:pPr>
    </w:p>
    <w:p>
      <w:pPr>
        <w:ind w:right="80" w:firstLine="619"/>
        <w:spacing w:after="0" w:line="250" w:lineRule="auto"/>
        <w:rPr>
          <w:sz w:val="20"/>
          <w:szCs w:val="20"/>
          <w:color w:val="auto"/>
        </w:rPr>
      </w:pPr>
      <w:r>
        <w:rPr>
          <w:rFonts w:ascii="Times New Roman" w:cs="Times New Roman" w:eastAsia="Times New Roman" w:hAnsi="Times New Roman"/>
          <w:sz w:val="17"/>
          <w:szCs w:val="17"/>
          <w:color w:val="auto"/>
        </w:rPr>
        <w:t>In June 2024, we filed an automatic shelf registration statement on Form S-3ASR (the Automatic Shelf Registration Statement). The Automatic Shelf Registration Statement, which includes a base prospectus, allows us at any time to offer and sell our registered common stock, preferred stock, debt securities, warrants, subscriptions rights and/or units or any combination of securities described in the prospectus in one or more offerings. On July 11, 2024, we entered into an amendment to the Equity Distribution Agreement, pursuant to which, from time to time, we may offer and sell through Piper Sandler up to $150.0 million of common stock registered under the Automatic Shelf Registration Statement pursuant to one or more “at the market” offerings. As of July 11, 2024, we had $150.0 million of common stock remaining available for sale under the Equity Distribution Agreement.</w:t>
      </w:r>
    </w:p>
    <w:p>
      <w:pPr>
        <w:spacing w:after="0" w:line="27" w:lineRule="exact"/>
        <w:rPr>
          <w:sz w:val="20"/>
          <w:szCs w:val="20"/>
          <w:color w:val="auto"/>
        </w:rPr>
      </w:pPr>
    </w:p>
    <w:p>
      <w:pPr>
        <w:ind w:right="460" w:firstLine="619"/>
        <w:spacing w:after="0" w:line="214" w:lineRule="exact"/>
        <w:rPr>
          <w:sz w:val="20"/>
          <w:szCs w:val="20"/>
          <w:color w:val="auto"/>
        </w:rPr>
      </w:pPr>
      <w:r>
        <w:rPr>
          <w:rFonts w:ascii="Times New Roman" w:cs="Times New Roman" w:eastAsia="Times New Roman" w:hAnsi="Times New Roman"/>
          <w:sz w:val="17"/>
          <w:szCs w:val="17"/>
          <w:color w:val="auto"/>
        </w:rPr>
        <w:t>In July 2022, we entered into separate securities purchase agreements with certain purchasers to issue and sell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funded warrants to purchase an aggregate of 6,814,920 shares of our common stock in registered direct offerings (RDOs) at a price of $13.939 per pre-funded warrant (the 2022 Pre-Funded Warrants). Net proceeds from the RDOs were approximately $94.8 million, after deducting offering expenses of $0.2 million. As of May 31, 2024, a total of 6,097,560 of the 2022 Pre-Funded Warrants remained available for exercise.</w:t>
      </w:r>
    </w:p>
    <w:p>
      <w:pPr>
        <w:spacing w:after="0" w:line="76" w:lineRule="exact"/>
        <w:rPr>
          <w:sz w:val="20"/>
          <w:szCs w:val="20"/>
          <w:color w:val="auto"/>
        </w:rPr>
      </w:pPr>
    </w:p>
    <w:p>
      <w:pPr>
        <w:ind w:right="60" w:firstLine="619"/>
        <w:spacing w:after="0" w:line="250" w:lineRule="auto"/>
        <w:rPr>
          <w:sz w:val="20"/>
          <w:szCs w:val="20"/>
          <w:color w:val="auto"/>
        </w:rPr>
      </w:pPr>
      <w:r>
        <w:rPr>
          <w:rFonts w:ascii="Times New Roman" w:cs="Times New Roman" w:eastAsia="Times New Roman" w:hAnsi="Times New Roman"/>
          <w:sz w:val="17"/>
          <w:szCs w:val="17"/>
          <w:color w:val="auto"/>
        </w:rPr>
        <w:t>In April 2024, we completed an underwritten public offering (the 2024 Public Offering) and issued (a) 11,916,667 shares of common stock, which included 1,750,000 shares issued upon the exercise in full by our underwriters of their option to purchase additional shares of common stock, at a public offering price of $15.00 per share, and (b) pre-funded warrants to purchase 1,500,100 shares of our common stock (the 2024 Pre-Funded Warrants) at a public offering price of $14.999 per pre-funded warrant, which represents the per share public offering price for the common stock less a $0.001 per share exercise price for each pre-funded warrant. The net proceeds from this offering were approximately $188.7 million, after deducting underwriting discounts and commissions and offering expenses. As of May 31, 2024, all of the 2024 Pre-Funded Warrants remained available for exercise.</w:t>
      </w:r>
    </w:p>
    <w:p>
      <w:pPr>
        <w:spacing w:after="0" w:line="67" w:lineRule="exact"/>
        <w:rPr>
          <w:sz w:val="20"/>
          <w:szCs w:val="20"/>
          <w:color w:val="auto"/>
        </w:rPr>
      </w:pPr>
    </w:p>
    <w:p>
      <w:pPr>
        <w:ind w:right="220" w:firstLine="619"/>
        <w:spacing w:after="0" w:line="254" w:lineRule="auto"/>
        <w:rPr>
          <w:sz w:val="20"/>
          <w:szCs w:val="20"/>
          <w:color w:val="auto"/>
        </w:rPr>
      </w:pPr>
      <w:r>
        <w:rPr>
          <w:rFonts w:ascii="Times New Roman" w:cs="Times New Roman" w:eastAsia="Times New Roman" w:hAnsi="Times New Roman"/>
          <w:sz w:val="17"/>
          <w:szCs w:val="17"/>
          <w:color w:val="auto"/>
        </w:rPr>
        <w:t>All issued pre-funded warrants were immediately exercisable, have an exercise price of $0.001 and may be exercised at any time after the date of issuance. A holder of the pre-funded warrants may not exercise the warrant if the holder, together with its affiliates, would beneficially own more than 9.99% of the number of shares of our common stock outstanding immediately after giving effect to such exercise. A holder of the pre-funded warrants may increase or decrease this percentage not in excess of 19.99% by providing us at least 61 days’ prior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Requirements</w:t>
      </w:r>
    </w:p>
    <w:p>
      <w:pPr>
        <w:spacing w:after="0" w:line="120" w:lineRule="exact"/>
        <w:rPr>
          <w:sz w:val="20"/>
          <w:szCs w:val="20"/>
          <w:color w:val="auto"/>
        </w:rPr>
      </w:pPr>
    </w:p>
    <w:p>
      <w:pPr>
        <w:ind w:right="80" w:firstLine="619"/>
        <w:spacing w:after="0" w:line="254" w:lineRule="auto"/>
        <w:rPr>
          <w:sz w:val="20"/>
          <w:szCs w:val="20"/>
          <w:color w:val="auto"/>
        </w:rPr>
      </w:pPr>
      <w:r>
        <w:rPr>
          <w:rFonts w:ascii="Times New Roman" w:cs="Times New Roman" w:eastAsia="Times New Roman" w:hAnsi="Times New Roman"/>
          <w:sz w:val="17"/>
          <w:szCs w:val="17"/>
          <w:color w:val="auto"/>
        </w:rPr>
        <w:t>As of May 31, 2024, our operations have primarily been funded through the net proceeds from equity offerings of $887.7 million and proceeds from collaborations of $430.0 million. We do not have any products approved for sale, and we have not generated any revenue from product sales. As of May 31, 2024, we had $452.5 million in cash, cash equivalents and marketable securities.</w:t>
      </w:r>
    </w:p>
    <w:p>
      <w:pPr>
        <w:spacing w:after="0" w:line="76"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We expect that our existing cash, cash equivalents and marketable securities are sufficient to meet our cash requirements and continue operating activities, including the clinical trials of our drug candidates NX-5948, NX-2127 and NX-1607 and the expansion of our intellectual property portfolio and infrastructure, for at least the next 12 months. We will need substantial additional funding to support our continuing operations and pursue our long-term business plan. We may seek to raise any necessary additional capital through a combination of public or private equity offerings, debt financings, collaborations, strategic alliances, licensing arrangements and other marketing and distribution arrangements. Because of the numerous risks and uncertainties associated with the development and commercialization of our drug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preclinical studies and clinical trials.</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the long term, our ability to support our working capital and capital expenditure requirements will depend on many factors, including the following:</w:t>
      </w:r>
    </w:p>
    <w:p>
      <w:pPr>
        <w:spacing w:after="0" w:line="101" w:lineRule="exact"/>
        <w:rPr>
          <w:sz w:val="20"/>
          <w:szCs w:val="20"/>
          <w:color w:val="auto"/>
        </w:rPr>
      </w:pPr>
    </w:p>
    <w:p>
      <w:pPr>
        <w:ind w:left="940" w:right="240" w:hanging="318"/>
        <w:spacing w:after="0" w:line="287" w:lineRule="auto"/>
        <w:tabs>
          <w:tab w:leader="none" w:pos="9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progress, costs and results of our ongoing Phase 1 clinical trials for our lead drug candidates NX-5948, NX-2127 and NX-1607, and any future clinical development of such drug candidates;</w:t>
      </w:r>
    </w:p>
    <w:p>
      <w:pPr>
        <w:spacing w:after="0" w:line="3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progress, costs and results of preclinical and clinical development for our other drug candidates and development programs;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development requirements of other drug candidates that we pursue;</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and costs associated with, future advancements to our DELigase platform;</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collaborations with Gilead, Sanofi, Pfizer and any other collaborations we may establish;</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timing and outcome of regulatory review of our drug candidates;</w:t>
      </w:r>
    </w:p>
    <w:p>
      <w:pPr>
        <w:spacing w:after="0" w:line="113" w:lineRule="exact"/>
        <w:rPr>
          <w:rFonts w:ascii="Times New Roman" w:cs="Times New Roman" w:eastAsia="Times New Roman" w:hAnsi="Times New Roman"/>
          <w:sz w:val="17"/>
          <w:szCs w:val="17"/>
          <w:color w:val="auto"/>
        </w:rPr>
      </w:pPr>
    </w:p>
    <w:p>
      <w:pPr>
        <w:ind w:left="940" w:right="240" w:hanging="318"/>
        <w:spacing w:after="0" w:line="271" w:lineRule="auto"/>
        <w:tabs>
          <w:tab w:leader="none" w:pos="9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future commercialization activities, including product manufacturing, marketing, sales and distribution, for any of our drug candidates for which we receive marketing approval;</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revenue, if any, received from commercial sales of our drug candidates for which we receive marketing approval;</w:t>
      </w:r>
    </w:p>
    <w:p>
      <w:pPr>
        <w:spacing w:after="0" w:line="113" w:lineRule="exact"/>
        <w:rPr>
          <w:rFonts w:ascii="Times New Roman" w:cs="Times New Roman" w:eastAsia="Times New Roman" w:hAnsi="Times New Roman"/>
          <w:sz w:val="17"/>
          <w:szCs w:val="17"/>
          <w:color w:val="auto"/>
        </w:rPr>
      </w:pPr>
    </w:p>
    <w:p>
      <w:pPr>
        <w:ind w:left="940" w:right="60" w:hanging="318"/>
        <w:spacing w:after="0" w:line="271" w:lineRule="auto"/>
        <w:tabs>
          <w:tab w:leader="none" w:pos="9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preparing, filing and prosecuting patent applications, maintaining and enforcing our intellectual property rights and defending any intellectual property-related claims; and</w:t>
      </w:r>
    </w:p>
    <w:p>
      <w:pPr>
        <w:spacing w:after="0" w:line="48" w:lineRule="exact"/>
        <w:rPr>
          <w:rFonts w:ascii="Times New Roman" w:cs="Times New Roman" w:eastAsia="Times New Roman" w:hAnsi="Times New Roman"/>
          <w:sz w:val="17"/>
          <w:szCs w:val="17"/>
          <w:color w:val="auto"/>
        </w:rPr>
      </w:pPr>
    </w:p>
    <w:p>
      <w:pPr>
        <w:ind w:left="940" w:right="120" w:hanging="318"/>
        <w:spacing w:after="0" w:line="287" w:lineRule="auto"/>
        <w:tabs>
          <w:tab w:leader="none" w:pos="9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additional collaboration arrangements with other biotechnology or pharmaceutical companies on favorable terms, if at all, for the development or commercialization of our drug candidates.</w:t>
      </w:r>
    </w:p>
    <w:p>
      <w:pPr>
        <w:spacing w:after="0" w:line="35" w:lineRule="exact"/>
        <w:rPr>
          <w:sz w:val="20"/>
          <w:szCs w:val="20"/>
          <w:color w:val="auto"/>
        </w:rPr>
      </w:pPr>
    </w:p>
    <w:p>
      <w:pPr>
        <w:ind w:right="80" w:firstLine="619"/>
        <w:spacing w:after="0" w:line="250" w:lineRule="auto"/>
        <w:rPr>
          <w:sz w:val="20"/>
          <w:szCs w:val="20"/>
          <w:color w:val="auto"/>
        </w:rPr>
      </w:pPr>
      <w:r>
        <w:rPr>
          <w:rFonts w:ascii="Times New Roman" w:cs="Times New Roman" w:eastAsia="Times New Roman" w:hAnsi="Times New Roman"/>
          <w:sz w:val="17"/>
          <w:szCs w:val="17"/>
          <w:color w:val="auto"/>
        </w:rPr>
        <w:t>We considered whether there are conditions or events that raise substantial doubt about our ability to continue as a going concern and evaluated the funds necessary to maintain operations. Additionally, we may be required to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67" w:lineRule="exact"/>
        <w:rPr>
          <w:sz w:val="20"/>
          <w:szCs w:val="20"/>
          <w:color w:val="auto"/>
        </w:rPr>
      </w:pPr>
    </w:p>
    <w:p>
      <w:pPr>
        <w:ind w:right="80" w:firstLine="619"/>
        <w:spacing w:after="0" w:line="254" w:lineRule="auto"/>
        <w:rPr>
          <w:sz w:val="20"/>
          <w:szCs w:val="20"/>
          <w:color w:val="auto"/>
        </w:rPr>
      </w:pPr>
      <w:r>
        <w:rPr>
          <w:rFonts w:ascii="Times New Roman" w:cs="Times New Roman" w:eastAsia="Times New Roman" w:hAnsi="Times New Roman"/>
          <w:sz w:val="17"/>
          <w:szCs w:val="17"/>
          <w:color w:val="auto"/>
        </w:rPr>
        <w:t>Our contractual obligations mostly consist of our operating lease obligations for facilities in San Francisco, California and The Woodlands, Texas. Our total operating lease commitments as of May 31, 2024, were approximately $39.8 million, of which $8.1 million is expected to be paid within the next 12 months. In addition, we enter into agreements in the normal course of business with contract research organizations for clinical trials and with vendors for preclinical studies and other services and products for operating purposes, which are generally cancelable upon written notice.</w:t>
      </w:r>
    </w:p>
    <w:p>
      <w:pPr>
        <w:spacing w:after="0" w:line="62" w:lineRule="exact"/>
        <w:rPr>
          <w:sz w:val="20"/>
          <w:szCs w:val="20"/>
          <w:color w:val="auto"/>
        </w:rPr>
      </w:pPr>
    </w:p>
    <w:p>
      <w:pPr>
        <w:ind w:right="140" w:firstLine="619"/>
        <w:spacing w:after="0" w:line="262" w:lineRule="auto"/>
        <w:rPr>
          <w:sz w:val="20"/>
          <w:szCs w:val="20"/>
          <w:color w:val="auto"/>
        </w:rPr>
      </w:pPr>
      <w:r>
        <w:rPr>
          <w:rFonts w:ascii="Times New Roman" w:cs="Times New Roman" w:eastAsia="Times New Roman" w:hAnsi="Times New Roman"/>
          <w:sz w:val="17"/>
          <w:szCs w:val="17"/>
          <w:color w:val="auto"/>
        </w:rPr>
        <w:t>We did not have during the periods presented, and we do not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cash flows for the six months ended May 31, 2024 and 2023 are summarized as follows (in thousands):</w:t>
      </w:r>
    </w:p>
    <w:p>
      <w:pPr>
        <w:spacing w:after="0" w:line="54"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2"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4"/>
          <w:szCs w:val="14"/>
          <w:b w:val="1"/>
          <w:bCs w:val="1"/>
          <w:color w:val="auto"/>
        </w:rPr>
        <w:t>May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260" w:type="dxa"/>
            <w:vAlign w:val="bottom"/>
            <w:tcBorders>
              <w:bottom w:val="single" w:sz="8" w:color="CCEEFF"/>
            </w:tcBorders>
          </w:tcPr>
          <w:p>
            <w:pPr>
              <w:spacing w:after="0"/>
              <w:rPr>
                <w:sz w:val="3"/>
                <w:szCs w:val="3"/>
                <w:color w:val="auto"/>
              </w:rPr>
            </w:pPr>
          </w:p>
        </w:tc>
        <w:tc>
          <w:tcPr>
            <w:tcW w:w="27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used in operating activities</w:t>
            </w:r>
          </w:p>
        </w:tc>
        <w:tc>
          <w:tcPr>
            <w:tcW w:w="3640" w:type="dxa"/>
            <w:vAlign w:val="bottom"/>
            <w:tcBorders>
              <w:bottom w:val="single" w:sz="8" w:color="CCEEFF"/>
            </w:tcBorders>
            <w:gridSpan w:val="2"/>
            <w:shd w:val="clear" w:color="auto" w:fill="CCEEFF"/>
          </w:tcPr>
          <w:p>
            <w:pPr>
              <w:jc w:val="right"/>
              <w:ind w:right="76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(81,656)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(66,921)</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(used in) provided by investing activities</w:t>
            </w:r>
          </w:p>
        </w:tc>
        <w:tc>
          <w:tcPr>
            <w:tcW w:w="2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(95,557)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59,899</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provided by financing activities</w:t>
            </w:r>
          </w:p>
        </w:tc>
        <w:tc>
          <w:tcPr>
            <w:tcW w:w="27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239,376</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270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76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62,163</w:t>
            </w:r>
          </w:p>
        </w:tc>
        <w:tc>
          <w:tcPr>
            <w:tcW w:w="8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700" w:type="dxa"/>
            <w:vAlign w:val="bottom"/>
            <w:vMerge w:val="restart"/>
          </w:tcPr>
          <w:p>
            <w:pPr>
              <w:jc w:val="right"/>
              <w:ind w:right="1874"/>
              <w:spacing w:after="0"/>
              <w:rPr>
                <w:sz w:val="20"/>
                <w:szCs w:val="20"/>
                <w:color w:val="auto"/>
              </w:rPr>
            </w:pPr>
            <w:r>
              <w:rPr>
                <w:rFonts w:ascii="Times New Roman" w:cs="Times New Roman" w:eastAsia="Times New Roman" w:hAnsi="Times New Roman"/>
                <w:sz w:val="17"/>
                <w:szCs w:val="17"/>
                <w:color w:val="auto"/>
              </w:rPr>
              <w:t>34</w:t>
            </w: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9A9A9A"/>
            </w:tcBorders>
          </w:tcPr>
          <w:p>
            <w:pPr>
              <w:spacing w:after="0"/>
              <w:rPr>
                <w:sz w:val="8"/>
                <w:szCs w:val="8"/>
                <w:color w:val="auto"/>
              </w:rPr>
            </w:pPr>
          </w:p>
        </w:tc>
        <w:tc>
          <w:tcPr>
            <w:tcW w:w="5260" w:type="dxa"/>
            <w:vAlign w:val="bottom"/>
            <w:tcBorders>
              <w:bottom w:val="single" w:sz="8" w:color="9A9A9A"/>
            </w:tcBorders>
          </w:tcPr>
          <w:p>
            <w:pPr>
              <w:spacing w:after="0"/>
              <w:rPr>
                <w:sz w:val="8"/>
                <w:szCs w:val="8"/>
                <w:color w:val="auto"/>
              </w:rPr>
            </w:pPr>
          </w:p>
        </w:tc>
        <w:tc>
          <w:tcPr>
            <w:tcW w:w="27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20"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Net cash used in operating activities was $81.7 million for the six months ended May 31, 2024 and consisted of a net loss of $86.1 million and an increase in net assets of $16.1 million, offset by non-cash adjustments of $20.6 million. The increase in net assets consisted of a decrease in deferred revenue of</w:t>
      </w:r>
    </w:p>
    <w:p>
      <w:pPr>
        <w:spacing w:after="0" w:line="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7"/>
          <w:szCs w:val="17"/>
          <w:color w:val="auto"/>
        </w:rPr>
        <w:t>$7.7 million, which included an increase in contract assets of $5.0 million related to the achievement of a milestone under the Pfizer Agreement, as we increased effort in our programs and recognized revenue, a decrease in accounts payable of $3.5 million from payments to vendors, a decrease in accrued expenses and other liabilities of $3.2 million primarily due to the payment of compensation and other related personnel costs and a decrease in operating lease liabilities of</w:t>
      </w:r>
    </w:p>
    <w:p>
      <w:pPr>
        <w:spacing w:after="0" w:line="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7"/>
          <w:szCs w:val="17"/>
          <w:color w:val="auto"/>
        </w:rPr>
        <w:t>$3.1 million due to lease payments made during the period, offset by a decrease in prepaid and other assets of $1.3 million primarily due to the recognition of expenses for prepaid services. Non-cash adjustments primarily consisted of stock-based compensation expenses of $16.7 million, depreciation and amortization expenses of $4.4 million and amortization of operating lease right-of-use (ROU) assets of $3.6 million, offset by net accretion of discount on marketable securities of $4.1 million.</w:t>
      </w:r>
    </w:p>
    <w:p>
      <w:pPr>
        <w:spacing w:after="0" w:line="68"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color w:val="auto"/>
        </w:rPr>
        <w:t>Net cash used in operating activities was $66.9 million for the six months ended May 31, 2023 and consisted of a net loss of $65.0 million and an increase in net assets of $23.9 million, offset by non-cash adjustments of $22.0 million. The increase in net assets consisted of a decrease in deferred revenue of $14.9 million as we increased effort in our programs and recognized revenue, a decrease in accrued expenses and other liabilities of $4.6 million primarily related to the payment of annual incentive compensation in the first quarter of fiscal year 2023, a decrease in operating lease liabilities of $3.1 million due to lease payments made during the period and a decrease in accounts payable of $1.8 million from payments to vendors. Non-cash adjustments primarily consisted of stock-based compensation expenses of $17.2 million, depreciation and amortization expenses of $3.6 million and amortization of operating lease ROU assets of $2.9 million.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20" w:lineRule="exact"/>
        <w:rPr>
          <w:sz w:val="20"/>
          <w:szCs w:val="20"/>
          <w:color w:val="auto"/>
        </w:rPr>
      </w:pPr>
    </w:p>
    <w:p>
      <w:pPr>
        <w:ind w:right="380" w:firstLine="619"/>
        <w:spacing w:after="0" w:line="271" w:lineRule="auto"/>
        <w:rPr>
          <w:sz w:val="20"/>
          <w:szCs w:val="20"/>
          <w:color w:val="auto"/>
        </w:rPr>
      </w:pPr>
      <w:r>
        <w:rPr>
          <w:rFonts w:ascii="Times New Roman" w:cs="Times New Roman" w:eastAsia="Times New Roman" w:hAnsi="Times New Roman"/>
          <w:sz w:val="17"/>
          <w:szCs w:val="17"/>
          <w:color w:val="auto"/>
        </w:rPr>
        <w:t>Net cash used in investing activities was $95.6 million for the six months ended May 31, 2024 and primarily consisted of the purchase of marketable securities of $279.9 million, offset by the maturity of marketable securities of $189.2 million.</w:t>
      </w:r>
    </w:p>
    <w:p>
      <w:pPr>
        <w:spacing w:after="0" w:line="61" w:lineRule="exact"/>
        <w:rPr>
          <w:sz w:val="20"/>
          <w:szCs w:val="20"/>
          <w:color w:val="auto"/>
        </w:rPr>
      </w:pPr>
    </w:p>
    <w:p>
      <w:pPr>
        <w:ind w:right="80" w:firstLine="619"/>
        <w:spacing w:after="0" w:line="271" w:lineRule="auto"/>
        <w:rPr>
          <w:sz w:val="20"/>
          <w:szCs w:val="20"/>
          <w:color w:val="auto"/>
        </w:rPr>
      </w:pPr>
      <w:r>
        <w:rPr>
          <w:rFonts w:ascii="Times New Roman" w:cs="Times New Roman" w:eastAsia="Times New Roman" w:hAnsi="Times New Roman"/>
          <w:sz w:val="17"/>
          <w:szCs w:val="17"/>
          <w:color w:val="auto"/>
        </w:rPr>
        <w:t>Net cash provided by investing activities was $59.9 million for the six months ended May 31, 2023 and consisted of the maturity of marketable securities of $146.6 million, offset by the purchase of marketable securities of $83.4 million and the purchase of property and equipment of $3.4 million.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20" w:lineRule="exact"/>
        <w:rPr>
          <w:sz w:val="20"/>
          <w:szCs w:val="20"/>
          <w:color w:val="auto"/>
        </w:rPr>
      </w:pPr>
    </w:p>
    <w:p>
      <w:pPr>
        <w:ind w:right="300" w:firstLine="619"/>
        <w:spacing w:after="0" w:line="287" w:lineRule="auto"/>
        <w:rPr>
          <w:sz w:val="20"/>
          <w:szCs w:val="20"/>
          <w:color w:val="auto"/>
        </w:rPr>
      </w:pPr>
      <w:r>
        <w:rPr>
          <w:rFonts w:ascii="Times New Roman" w:cs="Times New Roman" w:eastAsia="Times New Roman" w:hAnsi="Times New Roman"/>
          <w:sz w:val="17"/>
          <w:szCs w:val="17"/>
          <w:color w:val="auto"/>
        </w:rPr>
        <w:t>Net cash provided by financing activities was $239.4 million for the six months ended May 31, 2024 and consisted primarily of net proceeds from our 2024 Public Offering and the May 2024 ATM Financing.</w:t>
      </w:r>
    </w:p>
    <w:p>
      <w:pPr>
        <w:spacing w:after="0" w:line="35" w:lineRule="exact"/>
        <w:rPr>
          <w:sz w:val="20"/>
          <w:szCs w:val="20"/>
          <w:color w:val="auto"/>
        </w:rPr>
      </w:pPr>
    </w:p>
    <w:p>
      <w:pPr>
        <w:ind w:right="120" w:firstLine="619"/>
        <w:spacing w:after="0" w:line="271" w:lineRule="auto"/>
        <w:rPr>
          <w:sz w:val="20"/>
          <w:szCs w:val="20"/>
          <w:color w:val="auto"/>
        </w:rPr>
      </w:pPr>
      <w:r>
        <w:rPr>
          <w:rFonts w:ascii="Times New Roman" w:cs="Times New Roman" w:eastAsia="Times New Roman" w:hAnsi="Times New Roman"/>
          <w:sz w:val="17"/>
          <w:szCs w:val="17"/>
          <w:color w:val="auto"/>
        </w:rPr>
        <w:t>Net cash provided by financing activities was $1.5 million for the six months ended May 31, 2023 and consisted primarily of proceeds from the issuance of common stock under our Employee Stock Purchase Plan.</w:t>
      </w:r>
    </w:p>
    <w:p>
      <w:pPr>
        <w:spacing w:after="0" w:line="200" w:lineRule="exact"/>
        <w:rPr>
          <w:sz w:val="20"/>
          <w:szCs w:val="20"/>
          <w:color w:val="auto"/>
        </w:rPr>
      </w:pPr>
    </w:p>
    <w:p>
      <w:pPr>
        <w:spacing w:after="0" w:line="3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a “smaller reporting company” as defined by Item 10 of Regulation S-K, we are not required to provide this information.</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120"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Our management, with the participation of our President and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May 31, 2024.</w:t>
      </w:r>
    </w:p>
    <w:p>
      <w:pPr>
        <w:spacing w:after="0" w:line="56" w:lineRule="exact"/>
        <w:rPr>
          <w:sz w:val="20"/>
          <w:szCs w:val="20"/>
          <w:color w:val="auto"/>
        </w:rPr>
      </w:pPr>
    </w:p>
    <w:p>
      <w:pPr>
        <w:ind w:right="80" w:firstLine="619"/>
        <w:spacing w:after="0" w:line="250" w:lineRule="auto"/>
        <w:rPr>
          <w:sz w:val="20"/>
          <w:szCs w:val="20"/>
          <w:color w:val="auto"/>
        </w:rPr>
      </w:pPr>
      <w:r>
        <w:rPr>
          <w:rFonts w:ascii="Times New Roman" w:cs="Times New Roman" w:eastAsia="Times New Roman" w:hAnsi="Times New Roman"/>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President and Chief Executive Officer and our Chief Financial Officer, to allow timely decisions regarding required disclosure. Based on their evaluation, the Chief Executive Officer and Chief Financial Officer have concluded that our disclosure controls and procedures were effective as of May 31,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120" w:lineRule="exact"/>
        <w:rPr>
          <w:sz w:val="20"/>
          <w:szCs w:val="20"/>
          <w:color w:val="auto"/>
        </w:rPr>
      </w:pPr>
    </w:p>
    <w:p>
      <w:pPr>
        <w:jc w:val="both"/>
        <w:ind w:right="100" w:firstLine="619"/>
        <w:spacing w:after="0" w:line="26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identified in connection with the evaluation required by Rule 13a-15(d) and 15d-15(d) of the Exchange Act that occurred during the three months ended May 31, 2024, that have materially affected, or are reasonably likely to materially affect, our internal control over financial reporting.</w:t>
      </w:r>
    </w:p>
    <w:p>
      <w:pPr>
        <w:spacing w:after="0" w:line="200" w:lineRule="exact"/>
        <w:rPr>
          <w:sz w:val="20"/>
          <w:szCs w:val="20"/>
          <w:color w:val="auto"/>
        </w:rPr>
      </w:pPr>
    </w:p>
    <w:p>
      <w:pPr>
        <w:spacing w:after="0" w:line="3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18" w:lineRule="exact"/>
        <w:rPr>
          <w:sz w:val="20"/>
          <w:szCs w:val="20"/>
          <w:color w:val="auto"/>
        </w:rPr>
      </w:pPr>
    </w:p>
    <w:p>
      <w:pPr>
        <w:ind w:right="120" w:firstLine="619"/>
        <w:spacing w:after="0" w:line="254" w:lineRule="auto"/>
        <w:rPr>
          <w:sz w:val="20"/>
          <w:szCs w:val="20"/>
          <w:color w:val="auto"/>
        </w:rPr>
      </w:pPr>
      <w:r>
        <w:rPr>
          <w:rFonts w:ascii="Times New Roman" w:cs="Times New Roman" w:eastAsia="Times New Roman" w:hAnsi="Times New Roman"/>
          <w:sz w:val="17"/>
          <w:szCs w:val="17"/>
          <w:color w:val="auto"/>
        </w:rPr>
        <w:t>From time to time, we may be involved in legal proceedings arising in the ordinary course of our business. We are not presently a party to any legal proceedings that, in the opinion of management, would have a material adverse effect on our business or condensed consolidated financial statements. Regardless of outcome, litigation can have an adverse impact on us due to defense and settlement costs, diversion of management resources, negative publicity and reputational harm and other factors.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14" w:lineRule="exact"/>
        <w:rPr>
          <w:sz w:val="20"/>
          <w:szCs w:val="20"/>
          <w:color w:val="auto"/>
        </w:rPr>
      </w:pPr>
    </w:p>
    <w:p>
      <w:pPr>
        <w:ind w:right="120" w:firstLine="619"/>
        <w:spacing w:after="0" w:line="249"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Before making your decision to invest in shares of our common stock, you should carefully consider the risks and uncertainties described below, together with all of the other information contained in this Quarterly Report on Form 10-Q, including our condensed consolidated financial statements and related notes and the section titled “Management’s Discussion and Analysis of Financial Condition and Results of Operations.” We cannot assure you that any of the events described below will not occur.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results of operations, and future prospects could be materially and adversely affected. In that event, the trading price of our common stock could decline, and you could lose all or part of your investment.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Financial Position and Need for Additional Capital</w:t>
      </w:r>
    </w:p>
    <w:p>
      <w:pPr>
        <w:spacing w:after="0" w:line="112" w:lineRule="exact"/>
        <w:rPr>
          <w:sz w:val="20"/>
          <w:szCs w:val="20"/>
          <w:color w:val="auto"/>
        </w:rPr>
      </w:pPr>
    </w:p>
    <w:p>
      <w:pPr>
        <w:ind w:right="5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incurred significant losses since our inception. We expect to incur losses over at least the next several years and may never achieve or maintain profitability.</w:t>
      </w:r>
    </w:p>
    <w:p>
      <w:pPr>
        <w:spacing w:after="0" w:line="43"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Our net loss was $143.9 million for the fiscal year ended November 30, 2023, and $86.1 million for the six months ended May 31, 2024. As of May 31, 2024, we had an accumulated deficit of $631.3 million. To date, we have not generated any revenue from product sales and have financed our operations primarily through our collaborations and sales of our equity interests. We are in the early stages of development of our drug candidates. Our lead drug candidates, NX-5948, NX-2127 and NX-1607, are in the early stages of clinical development. We expect to continue to incur significant expenses and increasing operating losses for at least the next several years. We anticipate that our operating expenses and capital expenditure requirements will increase substantially if and as we:</w:t>
      </w:r>
    </w:p>
    <w:p>
      <w:pPr>
        <w:spacing w:after="0" w:line="69" w:lineRule="exact"/>
        <w:rPr>
          <w:sz w:val="20"/>
          <w:szCs w:val="20"/>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enrollment in and further develop our drug candidates NX-5948, NX-2127 and NX-1607 through Phase 1 clinical trials;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 investigational new drug applications (INDs) and initiate clinical trials of our other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advanced clinical development and scale up external manufacturing capabilities to supply clinical trials;</w:t>
      </w:r>
    </w:p>
    <w:p>
      <w:pPr>
        <w:spacing w:after="0" w:line="101"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the capabilities of our DELigase platform and apply our DELigase platform to advance additional drug candidates into preclinical and clinical development;</w:t>
      </w:r>
    </w:p>
    <w:p>
      <w:pPr>
        <w:spacing w:after="0" w:line="3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process development for manufacturing of our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marketing approvals for any drug candidates that successfully complete clinical trials;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for negotiations with the pricing authorities and submission to the health technology appraisal (HTA) bodies;</w:t>
      </w:r>
    </w:p>
    <w:p>
      <w:pPr>
        <w:spacing w:after="0" w:line="101" w:lineRule="exact"/>
        <w:rPr>
          <w:rFonts w:ascii="Times New Roman" w:cs="Times New Roman" w:eastAsia="Times New Roman" w:hAnsi="Times New Roman"/>
          <w:sz w:val="17"/>
          <w:szCs w:val="17"/>
          <w:color w:val="auto"/>
        </w:rPr>
      </w:pPr>
    </w:p>
    <w:p>
      <w:pPr>
        <w:ind w:left="940" w:right="360" w:hanging="318"/>
        <w:spacing w:after="0" w:line="271"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ultimately establish a sales, marketing and distribution infrastructure and scale up external manufacturing capabilities to commercialize any drug candidates for which we may obtain marketing approval;</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maintain and protect our intellectual property portfolio;</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additional clinical, regulatory, manufacturing, quality assurance and scientific personnel; and</w:t>
      </w:r>
    </w:p>
    <w:p>
      <w:pPr>
        <w:spacing w:after="0" w:line="101" w:lineRule="exact"/>
        <w:rPr>
          <w:rFonts w:ascii="Times New Roman" w:cs="Times New Roman" w:eastAsia="Times New Roman" w:hAnsi="Times New Roman"/>
          <w:sz w:val="17"/>
          <w:szCs w:val="17"/>
          <w:color w:val="auto"/>
        </w:rPr>
      </w:pPr>
    </w:p>
    <w:p>
      <w:pPr>
        <w:ind w:left="940" w:right="1000" w:hanging="318"/>
        <w:spacing w:after="0" w:line="287"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 operational, financial and management information systems and personnel to support our research, product development and future commercialization efforts and support our operations as a public company.</w:t>
      </w:r>
    </w:p>
    <w:p>
      <w:pPr>
        <w:spacing w:after="0" w:line="35" w:lineRule="exact"/>
        <w:rPr>
          <w:sz w:val="20"/>
          <w:szCs w:val="20"/>
          <w:color w:val="auto"/>
        </w:rPr>
      </w:pPr>
    </w:p>
    <w:p>
      <w:pPr>
        <w:jc w:val="both"/>
        <w:ind w:right="440" w:firstLine="619"/>
        <w:spacing w:after="0" w:line="262" w:lineRule="auto"/>
        <w:rPr>
          <w:sz w:val="20"/>
          <w:szCs w:val="20"/>
          <w:color w:val="auto"/>
        </w:rPr>
      </w:pPr>
      <w:r>
        <w:rPr>
          <w:rFonts w:ascii="Times New Roman" w:cs="Times New Roman" w:eastAsia="Times New Roman" w:hAnsi="Times New Roman"/>
          <w:sz w:val="17"/>
          <w:szCs w:val="17"/>
          <w:color w:val="auto"/>
        </w:rPr>
        <w:t>Our expenses could increase beyond our expectations if we are required by the U.S. Food and Drug Administration (FDA), the European Medicines Agency (EMA) or other regulatory authorities to perform trials in addition to those we currently expect, or if there are any delays in establishing appropriate manufacturing arrangements for or in completing our planned clinical trials or the development of any of our drug candidates.</w:t>
      </w:r>
    </w:p>
    <w:p>
      <w:pPr>
        <w:spacing w:after="0" w:line="200" w:lineRule="exact"/>
        <w:rPr>
          <w:sz w:val="20"/>
          <w:szCs w:val="20"/>
          <w:color w:val="auto"/>
        </w:rPr>
      </w:pPr>
    </w:p>
    <w:p>
      <w:pPr>
        <w:spacing w:after="0" w:line="3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80" w:firstLine="619"/>
        <w:spacing w:after="0" w:line="249" w:lineRule="auto"/>
        <w:rPr>
          <w:sz w:val="20"/>
          <w:szCs w:val="20"/>
          <w:color w:val="auto"/>
        </w:rPr>
      </w:pPr>
      <w:r>
        <w:rPr>
          <w:rFonts w:ascii="Times New Roman" w:cs="Times New Roman" w:eastAsia="Times New Roman" w:hAnsi="Times New Roman"/>
          <w:sz w:val="17"/>
          <w:szCs w:val="17"/>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never generated revenue from product sales and may never be profitable.</w:t>
      </w:r>
    </w:p>
    <w:p>
      <w:pPr>
        <w:spacing w:after="0" w:line="120"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We are in the early stages of clinical development of our lead drug candidates NX-5948, NX-2127 and NX-1607. We expect that it will be many years, if ever, before we have a drug candidate ready for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drug candidates, discovering additional drug candidates, establishing and maintaining arrangements with third parties for the manufacture of clinical supplies of our drug candidates, obtaining marketing approval for our drug candidates and manufacturing, marketing, selling and obtaining reimbursement for any products for which we may obtain marketing approval.</w:t>
      </w:r>
    </w:p>
    <w:p>
      <w:pPr>
        <w:spacing w:after="0" w:line="69" w:lineRule="exact"/>
        <w:rPr>
          <w:sz w:val="20"/>
          <w:szCs w:val="20"/>
          <w:color w:val="auto"/>
        </w:rPr>
      </w:pPr>
    </w:p>
    <w:p>
      <w:pPr>
        <w:ind w:right="260" w:firstLine="619"/>
        <w:spacing w:after="0" w:line="262" w:lineRule="auto"/>
        <w:rPr>
          <w:sz w:val="20"/>
          <w:szCs w:val="20"/>
          <w:color w:val="auto"/>
        </w:rPr>
      </w:pPr>
      <w:r>
        <w:rPr>
          <w:rFonts w:ascii="Times New Roman" w:cs="Times New Roman" w:eastAsia="Times New Roman" w:hAnsi="Times New Roman"/>
          <w:sz w:val="17"/>
          <w:szCs w:val="17"/>
          <w:color w:val="auto"/>
        </w:rPr>
        <w:t>If one or more of the drug candidates that we develop is approved for commercial sale, we anticipate incurring significant costs associated with commercializing any approved drug candidate. Even if we are able to generate revenues from the sale of any approved products, we may not become profitable and may need to obtain additional funding to continue operations.</w:t>
      </w:r>
    </w:p>
    <w:p>
      <w:pPr>
        <w:spacing w:after="0" w:line="153" w:lineRule="exact"/>
        <w:rPr>
          <w:sz w:val="20"/>
          <w:szCs w:val="20"/>
          <w:color w:val="auto"/>
        </w:rPr>
      </w:pPr>
    </w:p>
    <w:p>
      <w:pPr>
        <w:ind w:right="6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43"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We expect our expenses to increase substantially in connection with our ongoing activities, particularly as we conduct our Phase 1 clinical trials of NX-5948, NX-2127 and NX-1607, grow our pipeline of drug candidates, expand the breadth of our DELigase platform, continue research and development and initiate additional clinical trials of and potentially seek marketing approval for our lead programs and other drug candidates. In addition, if we obtain marketing approval for any of our drug candidates, we expect to incur significant commercialization expenses related to product manufacturing, marketing, reimbursement and sales and distribution. Furthermore, we expect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drug candidates that we otherwise would prefer to develop and market ourselves.</w:t>
      </w:r>
    </w:p>
    <w:p>
      <w:pPr>
        <w:spacing w:after="0" w:line="86" w:lineRule="exact"/>
        <w:rPr>
          <w:sz w:val="20"/>
          <w:szCs w:val="20"/>
          <w:color w:val="auto"/>
        </w:rPr>
      </w:pPr>
    </w:p>
    <w:p>
      <w:pPr>
        <w:ind w:right="80" w:firstLine="619"/>
        <w:spacing w:after="0" w:line="247" w:lineRule="auto"/>
        <w:rPr>
          <w:sz w:val="20"/>
          <w:szCs w:val="20"/>
          <w:color w:val="auto"/>
        </w:rPr>
      </w:pPr>
      <w:r>
        <w:rPr>
          <w:rFonts w:ascii="Times New Roman" w:cs="Times New Roman" w:eastAsia="Times New Roman" w:hAnsi="Times New Roman"/>
          <w:sz w:val="17"/>
          <w:szCs w:val="17"/>
          <w:color w:val="auto"/>
        </w:rPr>
        <w:t>We had cash, cash equivalents and marketable securities of $452.5 million as of May 31, 2024. We believe that our existing cash, cash equivalents and marketable securities will be sufficient to fund our operating expenses and capital expenditure requirements through at least the next 12 months. However, our future capital requirements and the period for which we expect our existing resources to support our operations may vary significantly from what we expect, and we may need to seek additional funds sooner than planned. In addition, we may seek additional capital due to favorable market conditions or strategic considerations, even if we believe we have sufficient funds for our current or future operating plans. Our future capital requirements will depend on many factors, including:</w:t>
      </w:r>
    </w:p>
    <w:p>
      <w:pPr>
        <w:spacing w:after="0" w:line="82" w:lineRule="exact"/>
        <w:rPr>
          <w:sz w:val="20"/>
          <w:szCs w:val="20"/>
          <w:color w:val="auto"/>
        </w:rPr>
      </w:pPr>
    </w:p>
    <w:p>
      <w:pPr>
        <w:ind w:left="940" w:right="220" w:hanging="318"/>
        <w:spacing w:after="0" w:line="271"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progress, costs and results of our Phase 1 clinical trials for NX-5948, NX-2127 and NX-1607 and any future clinical development of such drug candidates;</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progress, costs and results of preclinical and clinical development for our other drug candidates and development programs;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development requirements of other drug candidates that we pursue;</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and costs associated with, future advancements to our DELigase platform;</w:t>
      </w:r>
    </w:p>
    <w:p>
      <w:pPr>
        <w:spacing w:after="0" w:line="101" w:lineRule="exact"/>
        <w:rPr>
          <w:rFonts w:ascii="Times New Roman" w:cs="Times New Roman" w:eastAsia="Times New Roman" w:hAnsi="Times New Roman"/>
          <w:sz w:val="17"/>
          <w:szCs w:val="17"/>
          <w:color w:val="auto"/>
        </w:rPr>
      </w:pPr>
    </w:p>
    <w:p>
      <w:pPr>
        <w:ind w:left="940" w:hanging="318"/>
        <w:spacing w:after="0" w:line="271"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collaborations with Gilead Sciences, Inc. (Gilead), Sanofi S.A. (Sanofi) and Seagen Inc. (now a part of Pfizer Inc. (Pfizer)) and any other collaborations we may establish;</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timing and outcome of regulatory review of our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timing and outcome of negotiations with pricing authorities and health technology assessment authorities;</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240" w:hanging="318"/>
        <w:spacing w:after="0" w:line="271"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future commercialization activities, including product manufacturing, marketing, sales and distribution, for any of our drug candidates for which we receive marketing approval;</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revenue, if any, received from commercial sales of our drug candidates for which we receive marketing approval;</w:t>
      </w:r>
    </w:p>
    <w:p>
      <w:pPr>
        <w:spacing w:after="0" w:line="101" w:lineRule="exact"/>
        <w:rPr>
          <w:rFonts w:ascii="Times New Roman" w:cs="Times New Roman" w:eastAsia="Times New Roman" w:hAnsi="Times New Roman"/>
          <w:sz w:val="17"/>
          <w:szCs w:val="17"/>
          <w:color w:val="auto"/>
        </w:rPr>
      </w:pPr>
    </w:p>
    <w:p>
      <w:pPr>
        <w:ind w:left="940" w:right="60" w:hanging="318"/>
        <w:spacing w:after="0" w:line="271"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preparing, filing and prosecuting patent applications, maintaining and enforcing our intellectual property rights and defending any intellectual property-related claims; and</w:t>
      </w:r>
    </w:p>
    <w:p>
      <w:pPr>
        <w:spacing w:after="0" w:line="61" w:lineRule="exact"/>
        <w:rPr>
          <w:rFonts w:ascii="Times New Roman" w:cs="Times New Roman" w:eastAsia="Times New Roman" w:hAnsi="Times New Roman"/>
          <w:sz w:val="17"/>
          <w:szCs w:val="17"/>
          <w:color w:val="auto"/>
        </w:rPr>
      </w:pPr>
    </w:p>
    <w:p>
      <w:pPr>
        <w:ind w:left="940" w:right="120" w:hanging="318"/>
        <w:spacing w:after="0" w:line="271"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additional collaboration arrangements with other biotechnology or pharmaceutical companies on favorable terms, if at all, for the development or commercialization of our drug candidates.</w:t>
      </w:r>
    </w:p>
    <w:p>
      <w:pPr>
        <w:spacing w:after="0" w:line="48" w:lineRule="exact"/>
        <w:rPr>
          <w:sz w:val="20"/>
          <w:szCs w:val="20"/>
          <w:color w:val="auto"/>
        </w:rPr>
      </w:pPr>
    </w:p>
    <w:p>
      <w:pPr>
        <w:ind w:right="100" w:firstLine="619"/>
        <w:spacing w:after="0" w:line="254" w:lineRule="auto"/>
        <w:rPr>
          <w:sz w:val="20"/>
          <w:szCs w:val="20"/>
          <w:color w:val="auto"/>
        </w:rPr>
      </w:pPr>
      <w:r>
        <w:rPr>
          <w:rFonts w:ascii="Times New Roman" w:cs="Times New Roman" w:eastAsia="Times New Roman" w:hAnsi="Times New Roman"/>
          <w:sz w:val="17"/>
          <w:szCs w:val="17"/>
          <w:color w:val="auto"/>
        </w:rPr>
        <w:t>We will need to raise substantial additional capital to complete the development and commercialization of our drug candidates. In addition, our drug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w:t>
      </w:r>
    </w:p>
    <w:p>
      <w:pPr>
        <w:spacing w:after="0" w:line="172" w:lineRule="exact"/>
        <w:rPr>
          <w:sz w:val="20"/>
          <w:szCs w:val="20"/>
          <w:color w:val="auto"/>
        </w:rPr>
      </w:pPr>
    </w:p>
    <w:p>
      <w:pPr>
        <w:ind w:right="6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Raising additional capital may cause dilution to our stockholders, restrict our operations or require us to relinquish rights to our technologies or drug candidates.</w:t>
      </w:r>
    </w:p>
    <w:p>
      <w:pPr>
        <w:spacing w:after="0" w:line="43" w:lineRule="exact"/>
        <w:rPr>
          <w:sz w:val="20"/>
          <w:szCs w:val="20"/>
          <w:color w:val="auto"/>
        </w:rPr>
      </w:pPr>
    </w:p>
    <w:p>
      <w:pPr>
        <w:ind w:right="120" w:firstLine="619"/>
        <w:spacing w:after="0" w:line="248" w:lineRule="auto"/>
        <w:rPr>
          <w:sz w:val="20"/>
          <w:szCs w:val="20"/>
          <w:color w:val="auto"/>
        </w:rPr>
      </w:pPr>
      <w:r>
        <w:rPr>
          <w:rFonts w:ascii="Times New Roman" w:cs="Times New Roman" w:eastAsia="Times New Roman" w:hAnsi="Times New Roman"/>
          <w:sz w:val="17"/>
          <w:szCs w:val="17"/>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milestone payments under our collaborations with Gilead, Sanofi and Pfizer,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holder of common stock.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69"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If we raise additional funds through collaborations, strategic alliances or marketing, distribution or licensing arrangements with third parties, we may have to relinquish valuable rights to our intellectual property, technologies, future revenue streams, research programs or drug candidates or grant licenses on terms that may not be favorable to us.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limited operating history may make it difficult to evaluate the success of our business to date and to assess our future viability.</w:t>
      </w:r>
    </w:p>
    <w:p>
      <w:pPr>
        <w:spacing w:after="0" w:line="120" w:lineRule="exact"/>
        <w:rPr>
          <w:sz w:val="20"/>
          <w:szCs w:val="20"/>
          <w:color w:val="auto"/>
        </w:rPr>
      </w:pPr>
    </w:p>
    <w:p>
      <w:pPr>
        <w:ind w:right="80" w:firstLine="619"/>
        <w:spacing w:after="0" w:line="248" w:lineRule="auto"/>
        <w:rPr>
          <w:sz w:val="20"/>
          <w:szCs w:val="20"/>
          <w:color w:val="auto"/>
        </w:rPr>
      </w:pPr>
      <w:r>
        <w:rPr>
          <w:rFonts w:ascii="Times New Roman" w:cs="Times New Roman" w:eastAsia="Times New Roman" w:hAnsi="Times New Roman"/>
          <w:sz w:val="17"/>
          <w:szCs w:val="17"/>
          <w:color w:val="auto"/>
        </w:rPr>
        <w:t>We commenced operations in 2009, and our operations to date have been limited to organizing and staffing our company, business planning, raising capital, conducting discovery and research activities, filing patent applications, identifying potential drug candidates, undertaking preclinical studies, establishing arrangements with third parties for the manufacture of initial quantities of our drug candidates and conducting early-stage clinical trials. Our lead drug candidates are in the early stages of clinical development and their risk of failure is high. We have not yet demonstrated our ability to successfully: complete any clinical trials, including large-scale, pivotal clinical trials; obtain marketing approvals; manufacture a commercial-scale product or arrange for a third party to do so on our behalf; or conduct market access,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69" w:lineRule="exact"/>
        <w:rPr>
          <w:sz w:val="20"/>
          <w:szCs w:val="20"/>
          <w:color w:val="auto"/>
        </w:rPr>
      </w:pPr>
    </w:p>
    <w:p>
      <w:pPr>
        <w:ind w:right="80" w:firstLine="619"/>
        <w:spacing w:after="0" w:line="262" w:lineRule="auto"/>
        <w:rPr>
          <w:sz w:val="20"/>
          <w:szCs w:val="20"/>
          <w:color w:val="auto"/>
        </w:rPr>
      </w:pPr>
      <w:r>
        <w:rPr>
          <w:rFonts w:ascii="Times New Roman" w:cs="Times New Roman" w:eastAsia="Times New Roman" w:hAnsi="Times New Roman"/>
          <w:sz w:val="17"/>
          <w:szCs w:val="17"/>
          <w:color w:val="auto"/>
        </w:rPr>
        <w:t>In addition, as an early-stage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56" w:lineRule="exact"/>
        <w:rPr>
          <w:sz w:val="20"/>
          <w:szCs w:val="20"/>
          <w:color w:val="auto"/>
        </w:rPr>
      </w:pPr>
    </w:p>
    <w:p>
      <w:pPr>
        <w:ind w:right="160" w:firstLine="619"/>
        <w:spacing w:after="0" w:line="262" w:lineRule="auto"/>
        <w:rPr>
          <w:sz w:val="20"/>
          <w:szCs w:val="20"/>
          <w:color w:val="auto"/>
        </w:rPr>
      </w:pPr>
      <w:r>
        <w:rPr>
          <w:rFonts w:ascii="Times New Roman" w:cs="Times New Roman" w:eastAsia="Times New Roman" w:hAnsi="Times New Roman"/>
          <w:sz w:val="17"/>
          <w:szCs w:val="17"/>
          <w:color w:val="auto"/>
        </w:rPr>
        <w:t>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00" w:lineRule="exact"/>
        <w:rPr>
          <w:sz w:val="20"/>
          <w:szCs w:val="20"/>
          <w:color w:val="auto"/>
        </w:rPr>
      </w:pPr>
    </w:p>
    <w:p>
      <w:pPr>
        <w:spacing w:after="0" w:line="3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Discovery and Development of Our Drug Candidates</w:t>
      </w:r>
    </w:p>
    <w:p>
      <w:pPr>
        <w:spacing w:after="0" w:line="112"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are early in our development efforts. Our lead drug candidates, NX-5948, NX-2127 and NX-1607, are in the early stages of clinical development. If we are unable to advance our drug candidates through clinical development, develop, obtain regulatory approval for and commercialize our drug candidates or experience significant delays in doing so, our business may be materially harmed.</w:t>
      </w:r>
    </w:p>
    <w:p>
      <w:pPr>
        <w:spacing w:after="0" w:line="61"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17"/>
          <w:szCs w:val="17"/>
          <w:color w:val="auto"/>
        </w:rPr>
        <w:t>We are early in our development efforts. Our lead drug candidates, NX-5948, NX-2127 and NX-1607, are in the early stages of clinical development and their risk of failure is high. We have invested substantially all of our efforts and financial resources in building our DELigase platform, in the identification and preclinical development of our current drug candidates and in the preparation for and initiation of Phase 1 clinical trials for our lead drug candidates. Our ability to generate revenue from product sales, which we do not expect will occur for many years, if ever, will depend heavily on the successful development and eventual commercialization of one or more of our drug candidates. The success of our drug candidates will depend on several factors, including the following:</w:t>
      </w:r>
    </w:p>
    <w:p>
      <w:pPr>
        <w:spacing w:after="0" w:line="82" w:lineRule="exact"/>
        <w:rPr>
          <w:sz w:val="20"/>
          <w:szCs w:val="20"/>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sufficiency of our financial and other resources;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completion of preclinical studies;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submission of INDs or Clinical Trial Applications and initiation of clinical trials;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patient enrollment in, and completion of, clinical trials;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and related terms of marketing approvals from applicable regulatory authorities;</w:t>
      </w:r>
    </w:p>
    <w:p>
      <w:pPr>
        <w:spacing w:after="0" w:line="101" w:lineRule="exact"/>
        <w:rPr>
          <w:rFonts w:ascii="Times New Roman" w:cs="Times New Roman" w:eastAsia="Times New Roman" w:hAnsi="Times New Roman"/>
          <w:sz w:val="17"/>
          <w:szCs w:val="17"/>
          <w:color w:val="auto"/>
        </w:rPr>
      </w:pPr>
    </w:p>
    <w:p>
      <w:pPr>
        <w:ind w:left="940" w:right="700" w:hanging="318"/>
        <w:spacing w:after="0" w:line="287"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patent and trade secret protection and regulatory exclusivity for our drug candidates as well as obtaining relevant exclusivity extensions (due to the conduct of pediatric studies);</w:t>
      </w:r>
    </w:p>
    <w:p>
      <w:pPr>
        <w:spacing w:after="0" w:line="35" w:lineRule="exact"/>
        <w:rPr>
          <w:rFonts w:ascii="Times New Roman" w:cs="Times New Roman" w:eastAsia="Times New Roman" w:hAnsi="Times New Roman"/>
          <w:sz w:val="17"/>
          <w:szCs w:val="17"/>
          <w:color w:val="auto"/>
        </w:rPr>
      </w:pPr>
    </w:p>
    <w:p>
      <w:pPr>
        <w:ind w:left="940" w:right="320" w:hanging="318"/>
        <w:spacing w:after="0" w:line="271"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arrangements with third-party manufacturers, or establishing manufacturing capabilities, for both clinical and commercial supplies of our drug candidates;</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achieving desirable therapeutic properties for our drug candidates’ intended indications;</w:t>
      </w:r>
    </w:p>
    <w:p>
      <w:pPr>
        <w:spacing w:after="0" w:line="101" w:lineRule="exact"/>
        <w:rPr>
          <w:rFonts w:ascii="Times New Roman" w:cs="Times New Roman" w:eastAsia="Times New Roman" w:hAnsi="Times New Roman"/>
          <w:sz w:val="17"/>
          <w:szCs w:val="17"/>
          <w:color w:val="auto"/>
        </w:rPr>
      </w:pPr>
    </w:p>
    <w:p>
      <w:pPr>
        <w:ind w:left="940" w:right="40" w:hanging="318"/>
        <w:spacing w:after="0" w:line="271"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sales, marketing and distribution capabilities and launching commercial sales of our products, if and when approved, whether alone or in collaboration with others;</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acceptance of our products, if and when approved, by patients, the medical community and third-party payors;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third-party coverage and adequate reimbursement;</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 continued acceptable safety profile of our drug candidates and maintaining such a profile following approval; and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effectively competing with other therapies.</w:t>
      </w:r>
    </w:p>
    <w:p>
      <w:pPr>
        <w:spacing w:after="0" w:line="101" w:lineRule="exact"/>
        <w:rPr>
          <w:sz w:val="20"/>
          <w:szCs w:val="20"/>
          <w:color w:val="auto"/>
        </w:rPr>
      </w:pPr>
    </w:p>
    <w:p>
      <w:pPr>
        <w:ind w:right="220" w:firstLine="619"/>
        <w:spacing w:after="0" w:line="262" w:lineRule="auto"/>
        <w:rPr>
          <w:sz w:val="20"/>
          <w:szCs w:val="20"/>
          <w:color w:val="auto"/>
        </w:rPr>
      </w:pPr>
      <w:r>
        <w:rPr>
          <w:rFonts w:ascii="Times New Roman" w:cs="Times New Roman" w:eastAsia="Times New Roman" w:hAnsi="Times New Roman"/>
          <w:sz w:val="17"/>
          <w:szCs w:val="17"/>
          <w:color w:val="auto"/>
        </w:rPr>
        <w:t>If we do not successfully achieve one or more of these factors in a timely manner, or at all, we could experience significant delays or an inability to successfully commercialize our drug candidates, which could materially harm our business. Moreover, if we do not receive regulatory approvals, we may not be able to continue our operations.</w:t>
      </w:r>
    </w:p>
    <w:p>
      <w:pPr>
        <w:spacing w:after="0" w:line="56"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In addition, we filed for and received an Innovation Passport designation for NX-1607 in the United Kingdom (UK) in February 2022. The Innovation Passport is the mandated entry point to the Innovative Licensing and Access Pathway (ILAP) in the UK to facilitate approval of and market access to an innovative medicine. Grant of the Innovation Passport paves the way for enhanced engagement with key stakeholders such as the Medicines and Healthcare products Regulatory Agency (MHRA), health technology agencies in the UK such as the National Institute for Health and Care Excellence or the Scottish Medicines Consortium and NHS England. However, although the goal of ILAP and the Innovation Passport is to reduce the time to market and enable earlier patient access, they do not accelerate conduct of clinical trials or mean that the regulatory requirements are less stringent, nor do they ensure that any NX-1607 marketing authorization application (MAA) will be approved or that any approval will be granted within any particular timeframe. Despite receiving an Innovation Passport designation, we may decide to delay or forego the commercialization of NX-1607 in the UK or the development may otherwise not proceed.</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One of our approaches to the discovery and development of drug candidates based on our targeted protein degradation platform is unproven, which makes it difficult to predict the time, cost of development and likelihood of successfully developing any products.</w:t>
      </w:r>
    </w:p>
    <w:p>
      <w:pPr>
        <w:spacing w:after="0" w:line="43"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color w:val="auto"/>
        </w:rPr>
        <w:t>Treating diseases using targeted protein degradation is a new treatment modality. Our future success depends on the successful development of this novel therapeutic approach. Very few small molecule drug candidates designed to control cellular protein levels, such as our BTK degraders, have been tested in humans, none have been approved in the United States or Europe, and the data underlying the feasibility of developing these therapeutic products is both preliminary and limited. Discovery and development of targeted protein degraders that harness ligases to degrade protein targets have been impeded largely by the complexities and limited understanding of the functions, biochemistry and structural biology of E3 ligases as well as by challenges of engineering compounds that promote protein-protein interactions.</w:t>
      </w:r>
    </w:p>
    <w:p>
      <w:pPr>
        <w:spacing w:after="0" w:line="67"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We believe that our targeted protein degrader drug candidates may offer an improved therapeutic approach by removing the disease-causing proteins instead of simply inhibiting their activities. However, the scientific research that forms the basis of our efforts to develop our targeted protein degrader drug candidates is ongoing and the scientific evidence to support the feasibility of developing targeted protein degrader-based therapeutic treatments is both preliminary and limited. Further, certain patients have shown inherent (primary) resistance to approved BTK inhibitors and other patients have developed acquired (secondary) resistance to these inhibitors. Both NX-5948 and NX-2127 degrade BTK with mutations that confer resistance to currently marketed BTK inhibitors, and we believe that preliminary data from our ongoing Phase 1 trials of NX-5948 and NX -2127 may provide evidence of clinical benefit to patients with such resistance mutations. However, any inherent primary or acquired secondary resistance to our BTK degraders in patients would prevent or diminish their clinical benefit.</w:t>
      </w:r>
    </w:p>
    <w:p>
      <w:pPr>
        <w:spacing w:after="0" w:line="69" w:lineRule="exact"/>
        <w:rPr>
          <w:sz w:val="20"/>
          <w:szCs w:val="20"/>
          <w:color w:val="auto"/>
        </w:rPr>
      </w:pPr>
    </w:p>
    <w:p>
      <w:pPr>
        <w:ind w:right="80" w:firstLine="619"/>
        <w:spacing w:after="0" w:line="254" w:lineRule="auto"/>
        <w:rPr>
          <w:sz w:val="20"/>
          <w:szCs w:val="20"/>
          <w:color w:val="auto"/>
        </w:rPr>
      </w:pPr>
      <w:r>
        <w:rPr>
          <w:rFonts w:ascii="Times New Roman" w:cs="Times New Roman" w:eastAsia="Times New Roman" w:hAnsi="Times New Roman"/>
          <w:sz w:val="17"/>
          <w:szCs w:val="17"/>
          <w:color w:val="auto"/>
        </w:rPr>
        <w:t>We are in the early stages of clinical development of NX-5948 and NX-2127 and we currently have limited safety data of NX-5948 and NX-2127 in humans. Although some of our drug candidates have produced observable results in animal studies, these drug candidates may not demonstrate the same chemical and pharmacological properties in humans, and may interact with human biological systems in unforeseen, ineffective or harmful ways. As such, there may be adverse effects from treatment with any of our current or future drug candidates that we cannot predict at this time.</w:t>
      </w:r>
    </w:p>
    <w:p>
      <w:pPr>
        <w:spacing w:after="0" w:line="75"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Additionally, the regulatory approval process for novel drug candidates such as ours can be more expensive and take longer than for other, better-known or extensively-studied drug candidates. Although other companies are also developing therapeutics based on targeted protein degradation, no regulatory authority has granted approval for any such therapeutic. As a result of these factors, it is more difficult for us to predict the time and cost of targeted protein degrader drug candidate development, and we cannot predict whether targeted protein degradation will result in the development and marketing approval of any products. Any development problems we experience in the future related to any of our targeted protein degrader research programs may cause significant delays or unanticipated costs or may prevent the development of a commercially viable product. Advancing our targeted protein degrader drug candidates creates significant challenges for us, including:</w:t>
      </w:r>
    </w:p>
    <w:p>
      <w:pPr>
        <w:spacing w:after="0" w:line="69" w:lineRule="exact"/>
        <w:rPr>
          <w:sz w:val="20"/>
          <w:szCs w:val="20"/>
          <w:color w:val="auto"/>
        </w:rPr>
      </w:pPr>
    </w:p>
    <w:p>
      <w:pPr>
        <w:ind w:left="940" w:right="260" w:hanging="318"/>
        <w:spacing w:after="0" w:line="271"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educating medical personnel regarding the potential efficacy and safety benefits, as well as the challenges, of incorporating our drug candidates, if approved, into treatment regimens; and</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the sales and marketing capabilities to gain market acceptance, if approved.</w:t>
      </w:r>
    </w:p>
    <w:p>
      <w:pPr>
        <w:spacing w:after="0" w:line="101" w:lineRule="exact"/>
        <w:rPr>
          <w:sz w:val="20"/>
          <w:szCs w:val="20"/>
          <w:color w:val="auto"/>
        </w:rPr>
      </w:pPr>
    </w:p>
    <w:p>
      <w:pPr>
        <w:ind w:right="480" w:firstLine="619"/>
        <w:spacing w:after="0" w:line="271" w:lineRule="auto"/>
        <w:rPr>
          <w:sz w:val="20"/>
          <w:szCs w:val="20"/>
          <w:color w:val="auto"/>
        </w:rPr>
      </w:pPr>
      <w:r>
        <w:rPr>
          <w:rFonts w:ascii="Times New Roman" w:cs="Times New Roman" w:eastAsia="Times New Roman" w:hAnsi="Times New Roman"/>
          <w:sz w:val="17"/>
          <w:szCs w:val="17"/>
          <w:color w:val="auto"/>
        </w:rPr>
        <w:t>Any of these factors may prevent us from completing our preclinical studies or any clinical trials that we may initiate, or from commercializing any targeted protein degrader drug candidates we may develop on a timely or profitable basis, if at all.</w:t>
      </w:r>
    </w:p>
    <w:p>
      <w:pPr>
        <w:spacing w:after="0" w:line="158" w:lineRule="exact"/>
        <w:rPr>
          <w:sz w:val="20"/>
          <w:szCs w:val="20"/>
          <w:color w:val="auto"/>
        </w:rPr>
      </w:pPr>
    </w:p>
    <w:p>
      <w:pPr>
        <w:ind w:right="4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Drug development is a lengthy and expensive process, with an uncertain outcome. We may incur unexpected costs or experience delays in completing, or ultimately be unable to complete, the development and commercialization of our drug candidates.</w:t>
      </w:r>
    </w:p>
    <w:p>
      <w:pPr>
        <w:spacing w:after="0" w:line="43" w:lineRule="exact"/>
        <w:rPr>
          <w:sz w:val="20"/>
          <w:szCs w:val="20"/>
          <w:color w:val="auto"/>
        </w:rPr>
      </w:pPr>
    </w:p>
    <w:p>
      <w:pPr>
        <w:ind w:right="80" w:firstLine="619"/>
        <w:spacing w:after="0" w:line="245" w:lineRule="auto"/>
        <w:rPr>
          <w:sz w:val="20"/>
          <w:szCs w:val="20"/>
          <w:color w:val="auto"/>
        </w:rPr>
      </w:pPr>
      <w:r>
        <w:rPr>
          <w:rFonts w:ascii="Times New Roman" w:cs="Times New Roman" w:eastAsia="Times New Roman" w:hAnsi="Times New Roman"/>
          <w:sz w:val="17"/>
          <w:szCs w:val="17"/>
          <w:color w:val="auto"/>
        </w:rPr>
        <w:t>Our lead drug candidates are in the early stages of clinical development and their risk of failure is high. We are unable to predict when or if any of our drug candidates will prove effective or safe in humans or will receive marketing approval. Before obtaining marketing approval from regulatory authorities for the sale of any drug candidate, we must conduct extensive clinical trials to demonstrate the safety and efficacy of our drug candidates in humans. Before we can commence clinical trials for a drug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ultimately will support the further development of our programs.</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Clinical testing is expensive, difficult to design and implement, can take many years to complete and is uncertain as to the outcome. A failure of one or more clinical trials can occur at any stage of testing. Clinical trials may produce negative or inconclusive results, and we or any future collaborators may decide, or regulators may require us, to conduct additional clinical trials or preclinical studies. We will be required to demonstrate with substantial evidence through adequate and well-controlled clinical trials that our drug candidates are safe and effective for use in treating specific conditions in order to obtain marketing approvals for their commercial sale. Success in preclinical studies and early-stage clinical trials does not mean that any future larger registration clinical trials will be successful because drug candidates in later-stage clinical trials may fail to demonstrate safety and efficacy to the satisfaction of the FDA and non-U.S. regulatory authorities despite having progressed through preclinical studies and early-stage clinical trials. Drug candidates that have shown promising results in preclinical studies and early-stage clinical trials may still suffer significant setbacks in subsequent larger registration clinical trials. Additionally, the outcome of preclinical studies and early-stage clinical trials may not be predictive of the success of later-stage clinical trials.</w:t>
      </w:r>
    </w:p>
    <w:p>
      <w:pPr>
        <w:spacing w:after="0" w:line="72" w:lineRule="exact"/>
        <w:rPr>
          <w:sz w:val="20"/>
          <w:szCs w:val="20"/>
          <w:color w:val="auto"/>
        </w:rPr>
      </w:pPr>
    </w:p>
    <w:p>
      <w:pPr>
        <w:ind w:right="500" w:firstLine="619"/>
        <w:spacing w:after="0" w:line="271" w:lineRule="auto"/>
        <w:rPr>
          <w:sz w:val="20"/>
          <w:szCs w:val="20"/>
          <w:color w:val="auto"/>
        </w:rPr>
      </w:pPr>
      <w:r>
        <w:rPr>
          <w:rFonts w:ascii="Times New Roman" w:cs="Times New Roman" w:eastAsia="Times New Roman" w:hAnsi="Times New Roman"/>
          <w:sz w:val="17"/>
          <w:szCs w:val="17"/>
          <w:color w:val="auto"/>
        </w:rPr>
        <w:t>We may experience numerous unforeseen events during, or as a result of, clinical trials, that could delay or prevent our ability to receive marketing approval or commercialize our drug candidates, including:</w:t>
      </w:r>
    </w:p>
    <w:p>
      <w:pPr>
        <w:spacing w:after="0" w:line="61" w:lineRule="exact"/>
        <w:rPr>
          <w:sz w:val="20"/>
          <w:szCs w:val="20"/>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delays in reaching, or may fail to reach, a consensus with regulators on trial design;</w:t>
      </w:r>
    </w:p>
    <w:p>
      <w:pPr>
        <w:spacing w:after="0" w:line="101" w:lineRule="exact"/>
        <w:rPr>
          <w:rFonts w:ascii="Times New Roman" w:cs="Times New Roman" w:eastAsia="Times New Roman" w:hAnsi="Times New Roman"/>
          <w:sz w:val="17"/>
          <w:szCs w:val="17"/>
          <w:color w:val="auto"/>
        </w:rPr>
      </w:pPr>
    </w:p>
    <w:p>
      <w:pPr>
        <w:ind w:left="940" w:right="280" w:hanging="318"/>
        <w:spacing w:after="0" w:line="262"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supply or quality of our drug candidates or other materials necessary to conduct clinical trials of our drug candidates may be insufficient or inadequate, including as a result of delays in the testing, validation, manufacturing and delivery of drug candidates to the clinical sites by us or by third parties with whom we have contracted to perform certain of those functions;</w:t>
      </w:r>
    </w:p>
    <w:p>
      <w:pPr>
        <w:spacing w:after="0" w:line="55" w:lineRule="exact"/>
        <w:rPr>
          <w:rFonts w:ascii="Times New Roman" w:cs="Times New Roman" w:eastAsia="Times New Roman" w:hAnsi="Times New Roman"/>
          <w:sz w:val="17"/>
          <w:szCs w:val="17"/>
          <w:color w:val="auto"/>
        </w:rPr>
      </w:pPr>
    </w:p>
    <w:p>
      <w:pPr>
        <w:ind w:left="940" w:hanging="318"/>
        <w:spacing w:after="0" w:line="271"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delays in reaching, or may fail to reach, agreement on acceptable clinical trial contracts or clinical trial protocols with prospective trial sites;</w:t>
      </w:r>
    </w:p>
    <w:p>
      <w:pPr>
        <w:spacing w:after="0" w:line="61" w:lineRule="exact"/>
        <w:rPr>
          <w:rFonts w:ascii="Times New Roman" w:cs="Times New Roman" w:eastAsia="Times New Roman" w:hAnsi="Times New Roman"/>
          <w:sz w:val="17"/>
          <w:szCs w:val="17"/>
          <w:color w:val="auto"/>
        </w:rPr>
      </w:pPr>
    </w:p>
    <w:p>
      <w:pPr>
        <w:ind w:left="940" w:right="180" w:hanging="318"/>
        <w:spacing w:after="0" w:line="271"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or institutional review boards (IRBs) may not authorize us or our investigators to commence a clinical trial or conduct a clinical trial at a prospective trial site;</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receive feedback from regulatory authorities that requires us to modify the design of our clinical trials;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face delays under human tissue act legislation and restrictions across various jurisdictions;</w:t>
      </w:r>
    </w:p>
    <w:p>
      <w:pPr>
        <w:spacing w:after="0" w:line="101" w:lineRule="exact"/>
        <w:rPr>
          <w:rFonts w:ascii="Times New Roman" w:cs="Times New Roman" w:eastAsia="Times New Roman" w:hAnsi="Times New Roman"/>
          <w:sz w:val="17"/>
          <w:szCs w:val="17"/>
          <w:color w:val="auto"/>
        </w:rPr>
      </w:pPr>
    </w:p>
    <w:p>
      <w:pPr>
        <w:ind w:left="940" w:right="340" w:hanging="318"/>
        <w:spacing w:after="0" w:line="271"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difficulty in designing clinical trials and in selecting endpoints for diseases that have not been well-studied and for which the natural history and course of the disease is poorly understood;</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selection of certain clinical endpoints may require prolonged periods of clinical observation or analysis of the resulting data;</w:t>
      </w:r>
    </w:p>
    <w:p>
      <w:pPr>
        <w:spacing w:after="0" w:line="101" w:lineRule="exact"/>
        <w:rPr>
          <w:rFonts w:ascii="Times New Roman" w:cs="Times New Roman" w:eastAsia="Times New Roman" w:hAnsi="Times New Roman"/>
          <w:sz w:val="17"/>
          <w:szCs w:val="17"/>
          <w:color w:val="auto"/>
        </w:rPr>
      </w:pPr>
    </w:p>
    <w:p>
      <w:pPr>
        <w:ind w:left="940" w:right="220" w:hanging="318"/>
        <w:spacing w:after="0" w:line="271"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patients required for clinical trials of our drug candidates may be larger than we anticipate, enrollment in these clinical trials may be slower than we anticipate or participants may drop out of these clinical trials at a higher rate than we anticipate;</w:t>
      </w:r>
    </w:p>
    <w:p>
      <w:pPr>
        <w:spacing w:after="0" w:line="61" w:lineRule="exact"/>
        <w:rPr>
          <w:rFonts w:ascii="Times New Roman" w:cs="Times New Roman" w:eastAsia="Times New Roman" w:hAnsi="Times New Roman"/>
          <w:sz w:val="17"/>
          <w:szCs w:val="17"/>
          <w:color w:val="auto"/>
        </w:rPr>
      </w:pPr>
    </w:p>
    <w:p>
      <w:pPr>
        <w:ind w:left="940" w:right="420" w:hanging="318"/>
        <w:spacing w:after="0" w:line="271"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drug candidates may have undesirable side effects or other unexpected characteristics, causing us or our investigators, regulators or IRBs to suspend or terminate the trials;</w:t>
      </w:r>
    </w:p>
    <w:p>
      <w:pPr>
        <w:spacing w:after="0" w:line="48" w:lineRule="exact"/>
        <w:rPr>
          <w:rFonts w:ascii="Times New Roman" w:cs="Times New Roman" w:eastAsia="Times New Roman" w:hAnsi="Times New Roman"/>
          <w:sz w:val="17"/>
          <w:szCs w:val="17"/>
          <w:color w:val="auto"/>
        </w:rPr>
      </w:pPr>
    </w:p>
    <w:p>
      <w:pPr>
        <w:ind w:left="940" w:right="400" w:hanging="318"/>
        <w:spacing w:after="0" w:line="262"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have to suspend or terminate clinical trials of our drug candidates for various reasons, including a partial or full clinical hold based on a finding that our drug candidates have undesirable side effects or other unexpected characteristics, or that the participants are being exposed to unacceptable health risks;</w:t>
      </w:r>
    </w:p>
    <w:p>
      <w:pPr>
        <w:spacing w:after="0" w:line="5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third-party contractors may fail to comply with regulatory requirements or meet their contractual obligations to us in a timely manner, or at all;</w:t>
      </w:r>
    </w:p>
    <w:p>
      <w:pPr>
        <w:spacing w:after="0" w:line="113" w:lineRule="exact"/>
        <w:rPr>
          <w:rFonts w:ascii="Times New Roman" w:cs="Times New Roman" w:eastAsia="Times New Roman" w:hAnsi="Times New Roman"/>
          <w:sz w:val="17"/>
          <w:szCs w:val="17"/>
          <w:color w:val="auto"/>
        </w:rPr>
      </w:pPr>
    </w:p>
    <w:p>
      <w:pPr>
        <w:ind w:left="940" w:right="300" w:hanging="318"/>
        <w:spacing w:after="0" w:line="271"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or IRBs may require that we or our investigators suspend or terminate clinical trials for various reasons, including noncompliance with regulatory requirements;</w:t>
      </w:r>
    </w:p>
    <w:p>
      <w:pPr>
        <w:spacing w:after="0" w:line="48" w:lineRule="exact"/>
        <w:rPr>
          <w:rFonts w:ascii="Times New Roman" w:cs="Times New Roman" w:eastAsia="Times New Roman" w:hAnsi="Times New Roman"/>
          <w:sz w:val="17"/>
          <w:szCs w:val="17"/>
          <w:color w:val="auto"/>
        </w:rPr>
      </w:pPr>
    </w:p>
    <w:p>
      <w:pPr>
        <w:ind w:left="940" w:right="440" w:hanging="318"/>
        <w:spacing w:after="0" w:line="271"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trials of our drug candidates may produce negative or inconclusive results, and we may decide, or regulators may require us, to conduct additional clinical trials or abandon product development programs;</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clinical trials of our drug candidates may be greater than we anticipate;</w:t>
      </w:r>
    </w:p>
    <w:p>
      <w:pPr>
        <w:spacing w:after="0" w:line="101" w:lineRule="exact"/>
        <w:rPr>
          <w:rFonts w:ascii="Times New Roman" w:cs="Times New Roman" w:eastAsia="Times New Roman" w:hAnsi="Times New Roman"/>
          <w:sz w:val="17"/>
          <w:szCs w:val="17"/>
          <w:color w:val="auto"/>
        </w:rPr>
      </w:pPr>
    </w:p>
    <w:p>
      <w:pPr>
        <w:ind w:left="940" w:right="500" w:hanging="318"/>
        <w:spacing w:after="0" w:line="271"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supply or quality of our drug candidates or other materials necessary to conduct clinical trials of our drug candidates may be insufficient or inadequate;</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may revise the requirements for approving our drug candidates, or such requirements may not be as we anticipate;</w:t>
      </w:r>
    </w:p>
    <w:p>
      <w:pPr>
        <w:spacing w:after="0" w:line="101" w:lineRule="exact"/>
        <w:rPr>
          <w:rFonts w:ascii="Times New Roman" w:cs="Times New Roman" w:eastAsia="Times New Roman" w:hAnsi="Times New Roman"/>
          <w:sz w:val="17"/>
          <w:szCs w:val="17"/>
          <w:color w:val="auto"/>
        </w:rPr>
      </w:pPr>
    </w:p>
    <w:p>
      <w:pPr>
        <w:ind w:left="940" w:right="580" w:hanging="318"/>
        <w:spacing w:after="0" w:line="271"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future collaborators that conduct clinical trials may face any of the above issues and may also conduct clinical trials in ways they view as advantageous to them but that are suboptimal for us; and</w:t>
      </w:r>
    </w:p>
    <w:p>
      <w:pPr>
        <w:spacing w:after="0" w:line="200" w:lineRule="exact"/>
        <w:rPr>
          <w:sz w:val="20"/>
          <w:szCs w:val="20"/>
          <w:color w:val="auto"/>
        </w:rPr>
      </w:pPr>
    </w:p>
    <w:p>
      <w:pPr>
        <w:spacing w:after="0" w:line="3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480" w:hanging="318"/>
        <w:spacing w:after="0" w:line="271" w:lineRule="auto"/>
        <w:tabs>
          <w:tab w:leader="none" w:pos="9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caused by macroeconomic, political and market conditions, including supply chain disruptions, may increase the likelihood that we encounter such difficulties or delays in initiating, enrolling, conducting or completing our planned and ongoing clinical trials.</w:t>
      </w:r>
    </w:p>
    <w:p>
      <w:pPr>
        <w:spacing w:after="0" w:line="61" w:lineRule="exact"/>
        <w:rPr>
          <w:sz w:val="20"/>
          <w:szCs w:val="20"/>
          <w:color w:val="auto"/>
        </w:rPr>
      </w:pPr>
    </w:p>
    <w:p>
      <w:pPr>
        <w:ind w:right="200" w:firstLine="619"/>
        <w:spacing w:after="0" w:line="254" w:lineRule="auto"/>
        <w:rPr>
          <w:sz w:val="20"/>
          <w:szCs w:val="20"/>
          <w:color w:val="auto"/>
        </w:rPr>
      </w:pPr>
      <w:r>
        <w:rPr>
          <w:rFonts w:ascii="Times New Roman" w:cs="Times New Roman" w:eastAsia="Times New Roman" w:hAnsi="Times New Roman"/>
          <w:sz w:val="17"/>
          <w:szCs w:val="17"/>
          <w:color w:val="auto"/>
        </w:rPr>
        <w:t>In some instances, there can be significant variability in safety and efficacy results between different clinical trials of the same drug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safety and efficacy sufficient to obtain marketing approval for our drug candidates.</w:t>
      </w:r>
    </w:p>
    <w:p>
      <w:pPr>
        <w:spacing w:after="0" w:line="62" w:lineRule="exact"/>
        <w:rPr>
          <w:sz w:val="20"/>
          <w:szCs w:val="20"/>
          <w:color w:val="auto"/>
        </w:rPr>
      </w:pPr>
    </w:p>
    <w:p>
      <w:pPr>
        <w:jc w:val="both"/>
        <w:ind w:right="20" w:firstLine="619"/>
        <w:spacing w:after="0" w:line="262" w:lineRule="auto"/>
        <w:rPr>
          <w:sz w:val="20"/>
          <w:szCs w:val="20"/>
          <w:color w:val="auto"/>
        </w:rPr>
      </w:pPr>
      <w:r>
        <w:rPr>
          <w:rFonts w:ascii="Times New Roman" w:cs="Times New Roman" w:eastAsia="Times New Roman" w:hAnsi="Times New Roman"/>
          <w:sz w:val="17"/>
          <w:szCs w:val="17"/>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56" w:lineRule="exact"/>
        <w:rPr>
          <w:sz w:val="20"/>
          <w:szCs w:val="20"/>
          <w:color w:val="auto"/>
        </w:rPr>
      </w:pPr>
    </w:p>
    <w:p>
      <w:pPr>
        <w:ind w:left="920" w:hanging="298"/>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delayed in obtaining marketing approval for our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obtain marketing approval at all;</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approval for indications or patient populations that are not as broad as intended or desired;</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approval with labeling that includes significant use or distribution restrictions or safety warnings;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subject to additional post-marketing testing requirements or changes in the way the product is administered; or</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the product removed from the market after obtaining marketing approval.</w:t>
      </w:r>
    </w:p>
    <w:p>
      <w:pPr>
        <w:spacing w:after="0" w:line="101" w:lineRule="exact"/>
        <w:rPr>
          <w:sz w:val="20"/>
          <w:szCs w:val="20"/>
          <w:color w:val="auto"/>
        </w:rPr>
      </w:pPr>
    </w:p>
    <w:p>
      <w:pPr>
        <w:ind w:right="160" w:firstLine="619"/>
        <w:spacing w:after="0" w:line="249" w:lineRule="auto"/>
        <w:rPr>
          <w:sz w:val="20"/>
          <w:szCs w:val="20"/>
          <w:color w:val="auto"/>
        </w:rPr>
      </w:pPr>
      <w:r>
        <w:rPr>
          <w:rFonts w:ascii="Times New Roman" w:cs="Times New Roman" w:eastAsia="Times New Roman" w:hAnsi="Times New Roman"/>
          <w:sz w:val="17"/>
          <w:szCs w:val="17"/>
          <w:color w:val="auto"/>
        </w:rPr>
        <w:t>Our product development costs also will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could allow our competitors to bring products to market before we do and impair our ability to successfully commercialize our drug candidates, which may harm our business, results of operations, financial condition and prospects.</w:t>
      </w:r>
    </w:p>
    <w:p>
      <w:pPr>
        <w:spacing w:after="0" w:line="82" w:lineRule="exact"/>
        <w:rPr>
          <w:sz w:val="20"/>
          <w:szCs w:val="20"/>
          <w:color w:val="auto"/>
        </w:rPr>
      </w:pPr>
    </w:p>
    <w:p>
      <w:pPr>
        <w:ind w:right="140" w:firstLine="619"/>
        <w:spacing w:after="0" w:line="248" w:lineRule="auto"/>
        <w:rPr>
          <w:sz w:val="20"/>
          <w:szCs w:val="20"/>
          <w:color w:val="auto"/>
        </w:rPr>
      </w:pPr>
      <w:r>
        <w:rPr>
          <w:rFonts w:ascii="Times New Roman" w:cs="Times New Roman" w:eastAsia="Times New Roman" w:hAnsi="Times New Roman"/>
          <w:sz w:val="17"/>
          <w:szCs w:val="17"/>
          <w:color w:val="auto"/>
        </w:rPr>
        <w:t>Further, cancer therapies sometimes are characterized as first-line, second-line or third-line, and the FDA often approves new therapies initially only for third-line or later use, meaning for use after two or more other treatments have failed. When cancer is detected early enough, first-line therapy, usually chemotherapy, hormone therapy, immunotherapy, radiation therapy, surgery, targeted therapy or a combination of these, is sometimes adequate to cure the cancer or prolong life without a cure. Second- and third-line therapies are administered to patients when prior therapy was ineffective. Our current and planned clinical trials for our drug candidates NX-5948, NX-2127 and NX-1607 are and will be with patients who have received one or more prior treatments. Subsequently, for those drug candidates that prove to be sufficiently beneficial, if any, we may seek approval potentially as a first-line therapy, but any drug candidates we develop, even if approved, may not be approved for first-line therapy, and, prior to any such approvals, we may have to conduct additional clinical trials.</w:t>
      </w:r>
    </w:p>
    <w:p>
      <w:pPr>
        <w:spacing w:after="0" w:line="166"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43"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17"/>
          <w:szCs w:val="17"/>
          <w:color w:val="auto"/>
        </w:rPr>
        <w:t>We have recently begun to evaluate our lead drug candidates in human clinical trials, and there have been very few clinical trials to date involving small molecule drug candidates designed to control cellular protein levels through targeted protein degradation. It is impossible to predict when or if any drug candidates we may develop will prove safe in humans. There is a limited safety data set for the effects of NX-5948, NX-2127 and NX-1607 in animals and we only recently have begun to test the safety of our drug candidates in humans. There can be no assurance that our current drug candidates or any future drug candidate will not cause undesirable side effects. Unforeseen side effects from our drug candidates could arise at any time during preclinical or clinical development.</w:t>
      </w:r>
    </w:p>
    <w:p>
      <w:pPr>
        <w:spacing w:after="0" w:line="82"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A potential risk in any protein modulation product is that healthy proteins or proteins not targeted for modulation will be modulated or that the modulation of the targeted protein in itself could cause adverse events, undesirable side effects or unexpected characteristics. It is possible that healthy proteins or proteins not targeted for modulation could be modulated by our drug candidates in any of our current or future preclinical studies or clinical trials. There also is the potential risk of delayed adverse events following treatment with our drug candidates.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20" w:firstLine="619"/>
        <w:spacing w:after="0" w:line="246" w:lineRule="auto"/>
        <w:rPr>
          <w:sz w:val="20"/>
          <w:szCs w:val="20"/>
          <w:color w:val="auto"/>
        </w:rPr>
      </w:pPr>
      <w:r>
        <w:rPr>
          <w:rFonts w:ascii="Times New Roman" w:cs="Times New Roman" w:eastAsia="Times New Roman" w:hAnsi="Times New Roman"/>
          <w:sz w:val="17"/>
          <w:szCs w:val="17"/>
          <w:color w:val="auto"/>
        </w:rPr>
        <w:t>If any drug candidates we develop are associated with serious adverse events or undesirable side effects, or have characteristics that are unexpected, including in preclinical studies, we may need to abandon their development or limit development to certain uses or subpopulations in which the adverse events, undesirable side effects or other characteristics are less prevalent, less severe or more acceptable from a risk-benefit perspective, any of which would have a material adverse effect on our business, financial condition, results of operations and prospects. For example, increased bleeding risk and cardiac arrhythmia such as atrial fibrillation have been reported side effects of approved BTK inhibitors. Furthermore, NX-1607 could activate the immune response to unsafe levels and may have the potential to induce hypercytokinemia, or cytokine storm, which is the overstimulation of immune cells and subsequent overproduction of their activating compounds. Many drug candidates that initially showed promise in early-stage testing for treating cancer or other diseases later have been found to cause side effects that prevented further clinical development of the drug candidates or limited their competitiveness in the market.</w:t>
      </w:r>
    </w:p>
    <w:p>
      <w:pPr>
        <w:spacing w:after="0" w:line="183"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results of preclinical studies and early-stage clinical trials may not be predictive of future results. Initial success in clinical trials may not be indicative of results obtained when these trials are completed or in later-stage trials.</w:t>
      </w:r>
    </w:p>
    <w:p>
      <w:pPr>
        <w:spacing w:after="0" w:line="43"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The results of preclinical studies may not be predictive of the results of clinical trials, and the results of any early-stage clinical trials we commence may not be predictive of the results of the later-stage clinical trials. In addition, initial success in clinical trials may not be indicative of results obtained when such trials are completed. In particular, the small number of patients in our planned early clinical trials may make the results of these trials less predictive of the outcomes of later clinical trials. For example, even if successful, the results of our initial clinical trials for NX-5948, NX-2127 and NX-1607 may not be predictive of the results of further clinical trials of these drug candidates or any of our other drug candidates. Moreover, preclinical and clinical data often are susceptible to varying interpretations and analyses, and many companies that have believed their drug candidates performed satisfactorily in preclinical studies and clinical trials nonetheless have failed to obtain marketing approval of their products. Our future clinical trials may not ultimately be successful or support further clinical development of any of our drug candidates. There is a high failure rate for drug candidates proceeding through clinical trials. A number of companies in the pharmaceutical and biotechnology industries have suffered significant setbacks in clinical development even after achieving encouraging results in earlier studies and clinical trials. Any such setbacks in our clinical development could materially harm our business, results of operations, financial condition and prospects.</w:t>
      </w:r>
    </w:p>
    <w:p>
      <w:pPr>
        <w:spacing w:after="0" w:line="169"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Interim top-line and preliminary data from our planned clinical trials that we announce or publish from time to time may change as more patient data become available and are subject to audit and verification procedures that could result in material changes in the final data.</w:t>
      </w:r>
    </w:p>
    <w:p>
      <w:pPr>
        <w:spacing w:after="0" w:line="43" w:lineRule="exact"/>
        <w:rPr>
          <w:sz w:val="20"/>
          <w:szCs w:val="20"/>
          <w:color w:val="auto"/>
        </w:rPr>
      </w:pPr>
    </w:p>
    <w:p>
      <w:pPr>
        <w:ind w:right="160" w:firstLine="619"/>
        <w:spacing w:after="0" w:line="250" w:lineRule="auto"/>
        <w:rPr>
          <w:sz w:val="20"/>
          <w:szCs w:val="20"/>
          <w:color w:val="auto"/>
        </w:rPr>
      </w:pPr>
      <w:r>
        <w:rPr>
          <w:rFonts w:ascii="Times New Roman" w:cs="Times New Roman" w:eastAsia="Times New Roman" w:hAnsi="Times New Roman"/>
          <w:sz w:val="17"/>
          <w:szCs w:val="17"/>
          <w:color w:val="auto"/>
        </w:rPr>
        <w:t>From time to time, we may publish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business, results of operations, financial condition and prospects.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experience delays or difficulties in enrolling patients in clinical trials, our receipt of necessary marketing approvals could be delayed or prevented.</w:t>
      </w:r>
    </w:p>
    <w:p>
      <w:pPr>
        <w:spacing w:after="0" w:line="120"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17"/>
          <w:szCs w:val="17"/>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of the United States. In particular, we are currently conducting Phase 1 clinical trials for each of our lead drug candidates: NX-5948, NX-2127 and NX-1607. We cannot predict how difficult it will be to enroll patients for these trials. Therefore, our ability to identify and enroll eligible patients for our NX-5948, NX-2127 and NX-1607 clinical trials may be limited or may result in slower enrollment than we anticipate. In addition, some of our competitors have ongoing clinical trials for drug candidates that treat the same indications as our drug candidates, and patients who otherwise would be eligible for our planned clinical trials instead may enroll in clinical trials of our competitors’ drug candidates. Moreover, the size of the relevant patient populations for the diseases that our lead drug candidates target is small, and as more companies begin to focus attention and resources on drug candidates to treat the same indications as our drug candidates, we may experience delays or be unable to successfully recruit and enroll a sufficient number of eligible patients in our clinical trials. Patient enrollment is affected by other factors including:</w:t>
      </w:r>
    </w:p>
    <w:p>
      <w:pPr>
        <w:spacing w:after="0" w:line="72" w:lineRule="exact"/>
        <w:rPr>
          <w:sz w:val="20"/>
          <w:szCs w:val="20"/>
          <w:color w:val="auto"/>
        </w:rPr>
      </w:pPr>
    </w:p>
    <w:p>
      <w:pPr>
        <w:ind w:left="920" w:hanging="298"/>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severity of the disease under investigation;</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of the patient population and process for identifying patients;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and efficacy of approved medications for the disease under investigation;</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20" w:hanging="298"/>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eligibility criteria for the trial in question;</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perceived risks and benefits of the drug candidates under study;</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efforts to facilitate timely enrollment in clinical trials;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physicians’ attitudes and practices with respect to clinical trial enrollment;</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burden on patients due to inconvenient procedures;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monitor patients adequately during and after treatment; and</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proximity and availability of clinical trial sites for prospective patients.</w:t>
      </w:r>
    </w:p>
    <w:p>
      <w:pPr>
        <w:spacing w:after="0" w:line="101" w:lineRule="exact"/>
        <w:rPr>
          <w:sz w:val="20"/>
          <w:szCs w:val="20"/>
          <w:color w:val="auto"/>
        </w:rPr>
      </w:pPr>
    </w:p>
    <w:p>
      <w:pPr>
        <w:jc w:val="both"/>
        <w:ind w:right="260" w:firstLine="619"/>
        <w:spacing w:after="0" w:line="262" w:lineRule="auto"/>
        <w:rPr>
          <w:sz w:val="20"/>
          <w:szCs w:val="20"/>
          <w:color w:val="auto"/>
        </w:rPr>
      </w:pPr>
      <w:r>
        <w:rPr>
          <w:rFonts w:ascii="Times New Roman" w:cs="Times New Roman" w:eastAsia="Times New Roman" w:hAnsi="Times New Roman"/>
          <w:sz w:val="17"/>
          <w:szCs w:val="17"/>
          <w:color w:val="auto"/>
        </w:rPr>
        <w:t>Our inability to enroll a sufficient number of patients for our current or planned clinical trials would result in significant delays and could require us to abandon one or more clinical trials altogether. Enrollment delays in our current or planned clinical trials may result in increased development costs for our drug candidates, which would cause the value of our company to decline and limit our ability to obtain additional financing.</w:t>
      </w:r>
    </w:p>
    <w:p>
      <w:pPr>
        <w:spacing w:after="0" w:line="153"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43"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manufacture of drugs is complex, and we and our third-party manufacturers are early in our manufacturing efforts.</w:t>
      </w:r>
    </w:p>
    <w:p>
      <w:pPr>
        <w:spacing w:after="0" w:line="120"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We have established manufacturing relationships with a limited number of suppliers to manufacture raw materials and the drug substance of any drug candidate for which we are currently pursuing, or may in the future pursue, preclinical or clinical development. Our systems for complying with current good manufacturing practices (cGMPs), manufacturing process development with our third-party manufacturers and scale-up are at an early stage. The actual cost to manufacture and process our drug candidates could be greater than we expect and could materially and adversely affect the commercial viability of our drug candidates. We or any of our third-party manufacturers may encounter difficulties in production, including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we or any of our third-party manufacturers encounter such difficulties, our ability to provide supply of our current or future drug candidates for clinical trials, our ability to obtain marketing approval or our ability to provide supply of our drug candidates for patients, if approved, could be delayed or stopped. For example, in October 2023, following our communication to the FDA of our intention to transition to an improved manufacturing process for NX-2127, the FDA placed a partial clinical hold on our ongoing Phase 1 clinical trial evaluating NX-2127. We actively engaged in discussions with FDA as part of our efforts to lift the partial clinical hold, and in March 2024, the FDA lifted the partial clinical hold. There can be no assurance that we can address any issues resulting in any future partial or full clinical hold in a timely manner or at all, and we may incur additional expenses in connection with our efforts to address a partial or full clinical hold or advance our clinical programs.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successful in our efforts to identify or discover additional potential drug candidates.</w:t>
      </w:r>
    </w:p>
    <w:p>
      <w:pPr>
        <w:spacing w:after="0" w:line="120"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A key element of our strategy is to apply our DELigase platform to address a broad array of targets and new therapeutic areas. The therapeutic discovery activities we are conducting may not be successful in identifying drug candidates that are useful in treating hematologic cancers, immune-mediated diseases or any other diseases. Our research programs initially may show promise in identifying potential drug candidates, yet fail to yield drug candidates for clinical development for a number of reasons, including:</w:t>
      </w:r>
    </w:p>
    <w:p>
      <w:pPr>
        <w:spacing w:after="0" w:line="62" w:lineRule="exact"/>
        <w:rPr>
          <w:sz w:val="20"/>
          <w:szCs w:val="20"/>
          <w:color w:val="auto"/>
        </w:rPr>
      </w:pPr>
    </w:p>
    <w:p>
      <w:pPr>
        <w:ind w:left="5840" w:right="3820" w:hanging="5218"/>
        <w:spacing w:after="0" w:line="983" w:lineRule="auto"/>
        <w:tabs>
          <w:tab w:leader="none" w:pos="9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research methodology used may not be successful in identifying potential drug candidates;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-330835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hanging="318"/>
        <w:spacing w:after="0" w:line="271" w:lineRule="auto"/>
        <w:tabs>
          <w:tab w:leader="none" w:pos="9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drug candidates may, on further study, be shown to have harmful side effects or other characteristics that indicate that they are unlikely to be drugs that will receive marketing approval or achieve market acceptance; or</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drug candidates may not be effective in treating their targeted diseases.</w:t>
      </w:r>
    </w:p>
    <w:p>
      <w:pPr>
        <w:spacing w:after="0" w:line="101" w:lineRule="exact"/>
        <w:rPr>
          <w:sz w:val="20"/>
          <w:szCs w:val="20"/>
          <w:color w:val="auto"/>
        </w:rPr>
      </w:pPr>
    </w:p>
    <w:p>
      <w:pPr>
        <w:ind w:right="100" w:firstLine="619"/>
        <w:spacing w:after="0" w:line="254" w:lineRule="auto"/>
        <w:rPr>
          <w:sz w:val="20"/>
          <w:szCs w:val="20"/>
          <w:color w:val="auto"/>
        </w:rPr>
      </w:pPr>
      <w:r>
        <w:rPr>
          <w:rFonts w:ascii="Times New Roman" w:cs="Times New Roman" w:eastAsia="Times New Roman" w:hAnsi="Times New Roman"/>
          <w:sz w:val="17"/>
          <w:szCs w:val="17"/>
          <w:color w:val="auto"/>
        </w:rPr>
        <w:t>Research programs to identify new drug candidates require substantial technical, financial and human resources. We may choose to focus our efforts and resources on a potential drug candidate that ultimately proves to be unsuccessful. If we are unable to identify suitable drug candidates for preclinical and clinical development, we will not be able to obtain revenues from the sale of products in future periods, which likely would result in significant harm to our financial position and adversely impact our stock price.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successful in our efforts to expand the breadth of our DELigase platform.</w:t>
      </w:r>
    </w:p>
    <w:p>
      <w:pPr>
        <w:spacing w:after="0" w:line="120"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17"/>
          <w:szCs w:val="17"/>
          <w:color w:val="auto"/>
        </w:rPr>
        <w:t>A key element of our strategy is to expand the capabilities of our DELigase platform and leverage our platform to discover, develop and potentially commercialize additional drug candidates beyond our current portfolio to target diseases in a wide range of organ systems and tissues and treat various disease states. These enhancements require substantial technical, financial and human resources, and may not result in the discovery or development of additional drug candidates or therapies. We may pursue what we believe is a promising opportunity to leverage our platform only to discover that certain of our risk or resource allocation decisions were incorrect or insufficient, or that individual products or our science in general has technology or biology risks that were previously unknown or underappreciated. Our strategy of pursuing the value of our DELigase platform over a long time horizon and across a broad array of human diseases may not be effective. In the event material decisions in any of these areas turn out to be incorrect or sub-optimal, we may experience a material adverse impact on our business and ability to fund our operations and we may never realize what we believe is the potential of our DELigase platform.</w:t>
      </w:r>
    </w:p>
    <w:p>
      <w:pPr>
        <w:spacing w:after="0" w:line="163"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face substantial competition in an environment of rapid technological change, which may result in others discovering, developing or commercializing products before or more successfully than we do.</w:t>
      </w:r>
    </w:p>
    <w:p>
      <w:pPr>
        <w:spacing w:after="0" w:line="43"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The development and commercialization of new drug products is highly competitive. Moreover, the biotechnology and pharmaceutical industries are characterized by rapidly advancing technologies, intense competition and a strong emphasis on proprietary products. We face and will continue to face competition from third parties that use protein modulation, antibody therapy, adoptive cell therapy, inhibitory nucleic acid, gene editing or gene therapy development platforms and from companies focused on more traditional therapeutic modalities, such as small molecule inhibitors. The competition is likely to come from multiple sources, including major pharmaceutical, specialty pharmaceutical and biotechnology companies, academic institutions, government agencies and other public and private research institutions that conduct research, seek patent protection and establish collaborative arrangements for research, development, manufacturing and commercialization.</w:t>
      </w:r>
    </w:p>
    <w:p>
      <w:pPr>
        <w:spacing w:after="0" w:line="69" w:lineRule="exact"/>
        <w:rPr>
          <w:sz w:val="20"/>
          <w:szCs w:val="20"/>
          <w:color w:val="auto"/>
        </w:rPr>
      </w:pPr>
    </w:p>
    <w:p>
      <w:pPr>
        <w:ind w:right="20" w:firstLine="619"/>
        <w:spacing w:after="0" w:line="248" w:lineRule="auto"/>
        <w:rPr>
          <w:sz w:val="20"/>
          <w:szCs w:val="20"/>
          <w:color w:val="auto"/>
        </w:rPr>
      </w:pPr>
      <w:r>
        <w:rPr>
          <w:rFonts w:ascii="Times New Roman" w:cs="Times New Roman" w:eastAsia="Times New Roman" w:hAnsi="Times New Roman"/>
          <w:sz w:val="17"/>
          <w:szCs w:val="17"/>
          <w:color w:val="auto"/>
        </w:rPr>
        <w:t>We are aware of a number of biotechnology companies focused on developing small molecules that degrade target proteins or inhibit E3 ligases, including, but not limited to, Accutar Biotechnology Inc., Arvinas, Inc., BeiGene, Ltd., BioTheryX, Inc., C4 Therapeutics, Inc., Cullgen Inc., Foghorn Therapeutics Inc., HotSpot Therapeutics, Inc., Kymera Therapeutics, Inc. and Monte Rosa Therapeutics, all of which currently are in preclinical or clinical development. In addition, certain large pharmaceutical companies have disclosed investments in this field, including AbbVie Inc., Amgen Inc., AstraZeneca plc, Bayer AG, Bristol-Myers Squibb Company, Genentech, Inc., GlaxoSmithKline plc and Novartis International AG. Furthermore, we are aware of multiple other BTK degrader programs in clinical development, including programs from AbbVie Inc., Accutar Biotechnology, Inc., BeiGene, Ltd, Haisco Pharmaceutical Group Co., Ltd. and Ubix Therapeutics, Inc.</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Further, mergers and acquisitions in the pharmaceutical and biotechnology industries may result in even more resources being concentrated among a smaller number of our competitors. Smaller or early-stage companies also may prove to be significant competitors, particularly through collaborative arrangements with large and established companies. All of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may develop. Our competitors also may obtain FDA or other regulatory approval for their products more rapidly than we may obtain approval for ours, which could prevent us from obtaining the orphan designation in the European Union (EU) and/or in the UK and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drug candidates are approved, we expect that they will be priced at a significant premium over competitive generic products.</w:t>
      </w:r>
    </w:p>
    <w:p>
      <w:pPr>
        <w:spacing w:after="0" w:line="172"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do not achieve our projected development goals in the time frames we expect and announce, the commercialization of our products may be delayed and, as a result, our stock price may decline.</w:t>
      </w:r>
    </w:p>
    <w:p>
      <w:pPr>
        <w:spacing w:after="0" w:line="43" w:lineRule="exact"/>
        <w:rPr>
          <w:sz w:val="20"/>
          <w:szCs w:val="20"/>
          <w:color w:val="auto"/>
        </w:rPr>
      </w:pPr>
    </w:p>
    <w:p>
      <w:pPr>
        <w:ind w:right="120" w:firstLine="619"/>
        <w:spacing w:after="0" w:line="248" w:lineRule="auto"/>
        <w:rPr>
          <w:sz w:val="20"/>
          <w:szCs w:val="20"/>
          <w:color w:val="auto"/>
        </w:rPr>
      </w:pPr>
      <w:r>
        <w:rPr>
          <w:rFonts w:ascii="Times New Roman" w:cs="Times New Roman" w:eastAsia="Times New Roman" w:hAnsi="Times New Roman"/>
          <w:sz w:val="17"/>
          <w:szCs w:val="17"/>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and may be associated with payments from third-party collaborators such as Gilead, Sanofi or Pfizer.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w:t>
      </w:r>
    </w:p>
    <w:p>
      <w:pPr>
        <w:spacing w:after="0" w:line="179"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estimated market opportunities for our drug candidates are subject to numerous uncertainties and may prove to be inaccurate. If we have overestimated the size of our market opportunities, our future growth may be limited.</w:t>
      </w:r>
    </w:p>
    <w:p>
      <w:pPr>
        <w:spacing w:after="0" w:line="43" w:lineRule="exact"/>
        <w:rPr>
          <w:sz w:val="20"/>
          <w:szCs w:val="20"/>
          <w:color w:val="auto"/>
        </w:rPr>
      </w:pPr>
    </w:p>
    <w:p>
      <w:pPr>
        <w:ind w:right="60" w:firstLine="619"/>
        <w:spacing w:after="0" w:line="245" w:lineRule="auto"/>
        <w:rPr>
          <w:sz w:val="20"/>
          <w:szCs w:val="20"/>
          <w:color w:val="auto"/>
        </w:rPr>
      </w:pPr>
      <w:r>
        <w:rPr>
          <w:rFonts w:ascii="Times New Roman" w:cs="Times New Roman" w:eastAsia="Times New Roman" w:hAnsi="Times New Roman"/>
          <w:sz w:val="17"/>
          <w:szCs w:val="17"/>
          <w:color w:val="auto"/>
        </w:rPr>
        <w:t>Our estimated addressable markets and market opportunities for our drug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inaccurate. Although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Quarterly Report on Form 10-Q. If this third-party or internally generated data prove to be inaccurate or if we make errors in our assumptions based on that data, our actual market may be more limited than we estimate it to be. In addition, these inaccuracies or errors may cause us to misallocate capital and other critical business resources, which could harm our business.</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Dependence on Third Parties</w:t>
      </w:r>
    </w:p>
    <w:p>
      <w:pPr>
        <w:spacing w:after="0" w:line="112" w:lineRule="exact"/>
        <w:rPr>
          <w:sz w:val="20"/>
          <w:szCs w:val="20"/>
          <w:color w:val="auto"/>
        </w:rPr>
      </w:pPr>
    </w:p>
    <w:p>
      <w:pPr>
        <w:ind w:right="5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43"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17"/>
          <w:szCs w:val="17"/>
          <w:color w:val="auto"/>
        </w:rPr>
        <w:t>We have sought third-party collaborators for the research, development and commercialization of some of our targeted protein degrader programs. For example, in June 2019 we entered into a collaboration with Gilead; in December 2019 we entered into a collaboration with Sanofi, which was subsequently expanded and amended in January 2021; and in September 2023 we entered into a collaboration with Seagen Inc. (now a part of Pfizer). Each of the foregoing collaborations requires us to conduct certain research activities. Our likely collaborators for any other collaboration arrangements include large and mid-size pharmaceutical companies, biotechnology companies and universities. These and any future arrangements with third parties limit our control over the amount and timing of resources that our collaborators dedicate to the development or commercialization of any drug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86" w:lineRule="exact"/>
        <w:rPr>
          <w:sz w:val="20"/>
          <w:szCs w:val="20"/>
          <w:color w:val="auto"/>
        </w:rPr>
      </w:pPr>
    </w:p>
    <w:p>
      <w:pPr>
        <w:ind w:firstLine="619"/>
        <w:spacing w:after="0" w:line="271" w:lineRule="auto"/>
        <w:rPr>
          <w:sz w:val="20"/>
          <w:szCs w:val="20"/>
          <w:color w:val="auto"/>
        </w:rPr>
      </w:pPr>
      <w:r>
        <w:rPr>
          <w:rFonts w:ascii="Times New Roman" w:cs="Times New Roman" w:eastAsia="Times New Roman" w:hAnsi="Times New Roman"/>
          <w:sz w:val="17"/>
          <w:szCs w:val="17"/>
          <w:color w:val="auto"/>
        </w:rPr>
        <w:t>Collaborations involving our research programs or any drug candidates we may develop, including our collaborations with Gilead, Sanofi and Pfizer, pose risks to us, including:</w:t>
      </w:r>
    </w:p>
    <w:p>
      <w:pPr>
        <w:spacing w:after="0" w:line="48" w:lineRule="exact"/>
        <w:rPr>
          <w:sz w:val="20"/>
          <w:szCs w:val="20"/>
          <w:color w:val="auto"/>
        </w:rPr>
      </w:pPr>
    </w:p>
    <w:p>
      <w:pPr>
        <w:ind w:left="920" w:hanging="298"/>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have significant discretion in determining the efforts and resources that they will apply to collaborations with us.</w:t>
      </w:r>
    </w:p>
    <w:p>
      <w:pPr>
        <w:spacing w:after="0" w:line="113" w:lineRule="exact"/>
        <w:rPr>
          <w:rFonts w:ascii="Times New Roman" w:cs="Times New Roman" w:eastAsia="Times New Roman" w:hAnsi="Times New Roman"/>
          <w:sz w:val="17"/>
          <w:szCs w:val="17"/>
          <w:color w:val="auto"/>
        </w:rPr>
      </w:pPr>
    </w:p>
    <w:p>
      <w:pPr>
        <w:ind w:left="940" w:right="340" w:hanging="318"/>
        <w:spacing w:after="0" w:line="254"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pursue development and commercialization of any drug candidates we may develop or may elect not to continue or renew development or commercialization programs based on clinical trial results, changes in the collaborator’s strategic focus or available funding or external factors such as an acquisition or business combination that diverts resources or creates competing priorities.</w:t>
      </w:r>
    </w:p>
    <w:p>
      <w:pPr>
        <w:spacing w:after="0" w:line="75" w:lineRule="exact"/>
        <w:rPr>
          <w:rFonts w:ascii="Times New Roman" w:cs="Times New Roman" w:eastAsia="Times New Roman" w:hAnsi="Times New Roman"/>
          <w:sz w:val="17"/>
          <w:szCs w:val="17"/>
          <w:color w:val="auto"/>
        </w:rPr>
      </w:pPr>
    </w:p>
    <w:p>
      <w:pPr>
        <w:jc w:val="both"/>
        <w:ind w:left="940" w:right="320" w:hanging="318"/>
        <w:spacing w:after="0" w:line="254"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Gilead and Sanofi have broad option rights to select up to five targets each, and Pfizer has option rights to multiple targets, for exclusive targeted protein degrader development, so long as not excluded by us under the terms of each collaboration, and may select targets we are considering but have not taken sufficient action to exclude under each collaboration.</w:t>
      </w:r>
    </w:p>
    <w:p>
      <w:pPr>
        <w:spacing w:after="0" w:line="75" w:lineRule="exact"/>
        <w:rPr>
          <w:rFonts w:ascii="Times New Roman" w:cs="Times New Roman" w:eastAsia="Times New Roman" w:hAnsi="Times New Roman"/>
          <w:sz w:val="17"/>
          <w:szCs w:val="17"/>
          <w:color w:val="auto"/>
        </w:rPr>
      </w:pPr>
    </w:p>
    <w:p>
      <w:pPr>
        <w:ind w:left="940" w:right="420" w:hanging="318"/>
        <w:spacing w:after="0" w:line="271"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delay clinical trials, provide insufficient funding for a clinical trial program, stop a clinical trial or abandon a drug candidate, repeat or conduct new clinical trials or require a new formulation of a drug candidate for clinical testing.</w:t>
      </w:r>
    </w:p>
    <w:p>
      <w:pPr>
        <w:spacing w:after="0" w:line="48" w:lineRule="exact"/>
        <w:rPr>
          <w:rFonts w:ascii="Times New Roman" w:cs="Times New Roman" w:eastAsia="Times New Roman" w:hAnsi="Times New Roman"/>
          <w:sz w:val="17"/>
          <w:szCs w:val="17"/>
          <w:color w:val="auto"/>
        </w:rPr>
      </w:pPr>
    </w:p>
    <w:p>
      <w:pPr>
        <w:ind w:left="940" w:right="140" w:hanging="318"/>
        <w:spacing w:after="0" w:line="262"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could develop independently, or develop with third parties, products that compete directly or indirectly with our products or drug candidates if the collaborators believe that competitive products are more likely to be successfully developed or can be commercialized under terms that are more economically attractive than ours.</w:t>
      </w:r>
    </w:p>
    <w:p>
      <w:pPr>
        <w:spacing w:after="0" w:line="55" w:lineRule="exact"/>
        <w:rPr>
          <w:rFonts w:ascii="Times New Roman" w:cs="Times New Roman" w:eastAsia="Times New Roman" w:hAnsi="Times New Roman"/>
          <w:sz w:val="17"/>
          <w:szCs w:val="17"/>
          <w:color w:val="auto"/>
        </w:rPr>
      </w:pPr>
    </w:p>
    <w:p>
      <w:pPr>
        <w:ind w:left="940" w:right="20" w:hanging="318"/>
        <w:spacing w:after="0" w:line="287"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with marketing and distribution rights to one or more products may not commit sufficient resources to the marketing and distribution of such product or products.</w:t>
      </w:r>
    </w:p>
    <w:p>
      <w:pPr>
        <w:spacing w:after="0" w:line="35" w:lineRule="exact"/>
        <w:rPr>
          <w:rFonts w:ascii="Times New Roman" w:cs="Times New Roman" w:eastAsia="Times New Roman" w:hAnsi="Times New Roman"/>
          <w:sz w:val="17"/>
          <w:szCs w:val="17"/>
          <w:color w:val="auto"/>
        </w:rPr>
      </w:pPr>
    </w:p>
    <w:p>
      <w:pPr>
        <w:ind w:left="940" w:right="260" w:hanging="318"/>
        <w:spacing w:after="0" w:line="249"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obtain, maintain, enforce or defend our intellectual property or proprietary rights or may use our proprietary information in such a way that could jeopardize or invalidate our proprietary information or expose us to potential litigation. For example, Gilead, Sanofi and Pfizer have the first right to enforce or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w:t>
      </w:r>
    </w:p>
    <w:p>
      <w:pPr>
        <w:spacing w:after="0" w:line="81" w:lineRule="exact"/>
        <w:rPr>
          <w:rFonts w:ascii="Times New Roman" w:cs="Times New Roman" w:eastAsia="Times New Roman" w:hAnsi="Times New Roman"/>
          <w:sz w:val="17"/>
          <w:szCs w:val="17"/>
          <w:color w:val="auto"/>
        </w:rPr>
      </w:pPr>
    </w:p>
    <w:p>
      <w:pPr>
        <w:ind w:left="940" w:right="120" w:hanging="318"/>
        <w:spacing w:after="0" w:line="271"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between the collaborators and us that result in the delay or termination of the research, development or commercialization of our products or drug candidates or that result in costly litigation or arbitration that diverts management attention and resources.</w:t>
      </w:r>
    </w:p>
    <w:p>
      <w:pPr>
        <w:spacing w:after="0" w:line="48" w:lineRule="exact"/>
        <w:rPr>
          <w:rFonts w:ascii="Times New Roman" w:cs="Times New Roman" w:eastAsia="Times New Roman" w:hAnsi="Times New Roman"/>
          <w:sz w:val="17"/>
          <w:szCs w:val="17"/>
          <w:color w:val="auto"/>
        </w:rPr>
      </w:pPr>
    </w:p>
    <w:p>
      <w:pPr>
        <w:ind w:left="940" w:right="160" w:hanging="318"/>
        <w:spacing w:after="0" w:line="287"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lose certain valuable rights under circumstances identified in our collaborations, including if we undergo a change of control. For example, Sanofi may terminate its agreement with us if we undergo a change of control.</w:t>
      </w:r>
    </w:p>
    <w:p>
      <w:pPr>
        <w:spacing w:after="0" w:line="35" w:lineRule="exact"/>
        <w:rPr>
          <w:rFonts w:ascii="Times New Roman" w:cs="Times New Roman" w:eastAsia="Times New Roman" w:hAnsi="Times New Roman"/>
          <w:sz w:val="17"/>
          <w:szCs w:val="17"/>
          <w:color w:val="auto"/>
        </w:rPr>
      </w:pPr>
    </w:p>
    <w:p>
      <w:pPr>
        <w:ind w:left="940" w:right="60" w:hanging="318"/>
        <w:spacing w:after="0" w:line="254"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Collaborations may be terminated and, if terminated, may result in a need for additional capital to pursue further development or commercialization of the applicable drug candidates. For example, each of Gilead, Sanofi and Pfizer can terminate its agreement with us in its entirety or with respect to a specific target for convenience upon written notice or in connection with a material breach of the agreement by us that remains uncured for a specified period of time.</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140" w:hanging="318"/>
        <w:spacing w:after="0" w:line="262"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 agreements may not lead to development or commercialization of drug candidates in the most efficient manner, or at all. For instance,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5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If our collaborations do not result in the successful development and commercialization of products, or if one of our collaborators terminates its</w:t>
      </w:r>
    </w:p>
    <w:p>
      <w:pPr>
        <w:spacing w:after="0" w:line="16"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7"/>
          <w:szCs w:val="17"/>
          <w:color w:val="auto"/>
        </w:rPr>
        <w:t>agreement with us, we may not receive any future research funding or milestone or royalty payments under the collaboration. If we do not receive the funding we expect under these agreements, our development of drug candidates could be delayed, and we may need additional resources to develop drug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Moreover, all of the risks relating to product development, marketing approval and commercialization described in this Quarterly Report on Form 10-Q apply to the activities of our collaborators.</w:t>
      </w:r>
    </w:p>
    <w:p>
      <w:pPr>
        <w:spacing w:after="0" w:line="69"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We may in the future decide to collaborate with pharmaceutical and biotechnology companies for the development and potential commercialization of any drug candidates we may develop. These relationships may require us to incur non-recurring and other charges, increase our near- and long-term expenditures, issue securities that dilute the ownership interest of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upon, among other things, our assessment of the proposed collaborator’s resources and expertise, the terms and conditions of the proposed collaboration and the proposed collaborator’s evaluation of several factors. If we license rights to any drug candidates we or our collaborators may develop, we may not be able to realize the benefit of such transactions if we are unable to successfully integrate them with our existing operations and company culture.</w:t>
      </w:r>
    </w:p>
    <w:p>
      <w:pPr>
        <w:spacing w:after="0" w:line="179"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seek to establish additional collaborations. If we are not able to establish collaborations on commercially reasonable terms, we may have to alter our development and commercialization plans.</w:t>
      </w:r>
    </w:p>
    <w:p>
      <w:pPr>
        <w:spacing w:after="0" w:line="43"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17"/>
          <w:szCs w:val="17"/>
          <w:color w:val="auto"/>
        </w:rPr>
        <w:t>We plan to continue to selectively pursue collaborations with leading biopharmaceutical and biotechnology companies with development and commercial expertise and capabilities. We face significant competition in attracting appropriate collaborators to advance the development of any drug candidates for which we may seek a collaboration. Whether we reach a definitive agreement for a collaboration will depend upon, among other things, our assessment of the collaborator’s resources and expertise, the terms and conditions of the proposed collaboration and the proposed collaborator’s evaluation of a number of factors. Those factors may include the design or results of preclinical studies and clinical trials, the likelihood of approval by the FDA or other regulatory authorities, the potential market for the subject drug candidate, the costs and complexities of manufacturing and delivering such drug candidate to patients, the potential of competing products, uncertainty with respect to our ownership of technology (which can exist if there is a challenge to such ownership without regard to the merits of the challenge), the terms of any existing collaboration agreements and industry and market conditions generally. The collaborator also may have the opportunity to collaborate on other drug candidates or technologies for similar indications and will have to evaluate whether such a collaboration could be more attractive than one with us.</w:t>
      </w:r>
    </w:p>
    <w:p>
      <w:pPr>
        <w:spacing w:after="0" w:line="272" w:lineRule="exact"/>
        <w:rPr>
          <w:sz w:val="20"/>
          <w:szCs w:val="20"/>
          <w:color w:val="auto"/>
        </w:rPr>
      </w:pPr>
    </w:p>
    <w:p>
      <w:pPr>
        <w:jc w:val="both"/>
        <w:ind w:right="180" w:firstLine="619"/>
        <w:spacing w:after="0" w:line="262" w:lineRule="auto"/>
        <w:rPr>
          <w:sz w:val="20"/>
          <w:szCs w:val="20"/>
          <w:color w:val="auto"/>
        </w:rPr>
      </w:pPr>
      <w:r>
        <w:rPr>
          <w:rFonts w:ascii="Times New Roman" w:cs="Times New Roman" w:eastAsia="Times New Roman" w:hAnsi="Times New Roman"/>
          <w:sz w:val="17"/>
          <w:szCs w:val="17"/>
          <w:color w:val="auto"/>
        </w:rPr>
        <w:t>Collaborations are complex and time-consuming to negotiate, document and execute. In addition, consolidation among large pharmaceutical companies has reduced the number of potential future collaborators, and we may not be able to locate a suitable collaborator. Any collaboration we enter into may limit our ability to enter into future agreements on particular terms or covering similar target indications with other potential collaborators.</w:t>
      </w:r>
    </w:p>
    <w:p>
      <w:pPr>
        <w:spacing w:after="0" w:line="56" w:lineRule="exact"/>
        <w:rPr>
          <w:sz w:val="20"/>
          <w:szCs w:val="20"/>
          <w:color w:val="auto"/>
        </w:rPr>
      </w:pPr>
    </w:p>
    <w:p>
      <w:pPr>
        <w:ind w:right="20" w:firstLine="619"/>
        <w:spacing w:after="0" w:line="248" w:lineRule="auto"/>
        <w:rPr>
          <w:sz w:val="20"/>
          <w:szCs w:val="20"/>
          <w:color w:val="auto"/>
        </w:rPr>
      </w:pPr>
      <w:r>
        <w:rPr>
          <w:rFonts w:ascii="Times New Roman" w:cs="Times New Roman" w:eastAsia="Times New Roman" w:hAnsi="Times New Roman"/>
          <w:sz w:val="17"/>
          <w:szCs w:val="17"/>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revenue from product sales, which could have an adverse effect on our business, financial condition, results of operations and prospects.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to conduct our clinical trials, and those third parties may not perform satisfactorily, including failing to meet deadlines for completing such trials.</w:t>
      </w:r>
    </w:p>
    <w:p>
      <w:pPr>
        <w:spacing w:after="0" w:line="43" w:lineRule="exact"/>
        <w:rPr>
          <w:sz w:val="20"/>
          <w:szCs w:val="20"/>
          <w:color w:val="auto"/>
        </w:rPr>
      </w:pPr>
    </w:p>
    <w:p>
      <w:pPr>
        <w:jc w:val="both"/>
        <w:ind w:right="220" w:firstLine="619"/>
        <w:spacing w:after="0" w:line="262" w:lineRule="auto"/>
        <w:rPr>
          <w:sz w:val="20"/>
          <w:szCs w:val="20"/>
          <w:color w:val="auto"/>
        </w:rPr>
      </w:pPr>
      <w:r>
        <w:rPr>
          <w:rFonts w:ascii="Times New Roman" w:cs="Times New Roman" w:eastAsia="Times New Roman" w:hAnsi="Times New Roman"/>
          <w:sz w:val="17"/>
          <w:szCs w:val="17"/>
          <w:color w:val="auto"/>
        </w:rPr>
        <w:t>We rely on third-party contract research organizations (CROs) to conduct our Phase 1 clinical trial programs for NX-5948, NX-2127 and NX-1607 and we will rely on third-party CROs to conduct any clinical trials for other drug candidates. Agreements with these CROs might terminate for a variety of reasons, including for such CRO’s failure to perform. Entry into alternative arrangements, if necessary, could significantly delay our product development activities.</w:t>
      </w:r>
    </w:p>
    <w:p>
      <w:pPr>
        <w:spacing w:after="0" w:line="56"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17"/>
          <w:szCs w:val="17"/>
          <w:color w:val="auto"/>
        </w:rPr>
        <w:t>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and other foreign regulators such as the EMA and the MHRA require compliance with good clinical practice standards, commonly referred to as GCPs, for conducting, recording and reporting the results of clinical trials to assure that data and reported results are credible and accurate and that the rights, integrity and confidentiality of trial participants are protected.</w:t>
      </w:r>
    </w:p>
    <w:p>
      <w:pPr>
        <w:spacing w:after="0" w:line="82" w:lineRule="exact"/>
        <w:rPr>
          <w:sz w:val="20"/>
          <w:szCs w:val="20"/>
          <w:color w:val="auto"/>
        </w:rPr>
      </w:pPr>
    </w:p>
    <w:p>
      <w:pPr>
        <w:ind w:right="180" w:firstLine="619"/>
        <w:spacing w:after="0" w:line="254" w:lineRule="auto"/>
        <w:rPr>
          <w:sz w:val="20"/>
          <w:szCs w:val="20"/>
          <w:color w:val="auto"/>
        </w:rPr>
      </w:pPr>
      <w:r>
        <w:rPr>
          <w:rFonts w:ascii="Times New Roman" w:cs="Times New Roman" w:eastAsia="Times New Roman" w:hAnsi="Times New Roman"/>
          <w:sz w:val="17"/>
          <w:szCs w:val="17"/>
          <w:color w:val="auto"/>
        </w:rPr>
        <w:t>If these CROs do not successfully carry out their contractual duties, meet expected deadlines or conduct our clinical trials in accordance with regulatory requirements or our stated protocols, we will not be able to obtain, or may be delayed in obtaining, marketing approvals for our drug candidates and will not be able to, or may be delayed in our efforts to, successfully commercialize our drug candidates.</w:t>
      </w:r>
    </w:p>
    <w:p>
      <w:pPr>
        <w:spacing w:after="0" w:line="17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64" w:lineRule="exact"/>
        <w:rPr>
          <w:sz w:val="20"/>
          <w:szCs w:val="20"/>
          <w:color w:val="auto"/>
        </w:rPr>
      </w:pPr>
    </w:p>
    <w:p>
      <w:pPr>
        <w:ind w:right="100" w:firstLine="619"/>
        <w:spacing w:after="0" w:line="254" w:lineRule="auto"/>
        <w:rPr>
          <w:sz w:val="20"/>
          <w:szCs w:val="20"/>
          <w:color w:val="auto"/>
        </w:rPr>
      </w:pPr>
      <w:r>
        <w:rPr>
          <w:rFonts w:ascii="Times New Roman" w:cs="Times New Roman" w:eastAsia="Times New Roman" w:hAnsi="Times New Roman"/>
          <w:sz w:val="17"/>
          <w:szCs w:val="17"/>
          <w:color w:val="auto"/>
        </w:rPr>
        <w:t>We do not own or operate, and currently have no plans to establish, any manufacturing facilities. We rely on and expect to continue to rely on third-party contract manufacturing organizations (CMOs) for both drug substance and finished drug product. This reliance on CMOs, particularly where one CMO is the sole source of the drug substance or finished drug product, may increase the risk that we will not have sufficient quantities of our drug candidates or products or such quantities at an acceptable cost or quality, which could delay, prevent or impair our development or commercialization efforts.</w:t>
      </w:r>
    </w:p>
    <w:p>
      <w:pPr>
        <w:spacing w:after="0" w:line="62" w:lineRule="exact"/>
        <w:rPr>
          <w:sz w:val="20"/>
          <w:szCs w:val="20"/>
          <w:color w:val="auto"/>
        </w:rPr>
      </w:pPr>
    </w:p>
    <w:p>
      <w:pPr>
        <w:ind w:right="40" w:firstLine="619"/>
        <w:spacing w:after="0" w:line="250" w:lineRule="auto"/>
        <w:rPr>
          <w:sz w:val="20"/>
          <w:szCs w:val="20"/>
          <w:color w:val="auto"/>
        </w:rPr>
      </w:pPr>
      <w:r>
        <w:rPr>
          <w:rFonts w:ascii="Times New Roman" w:cs="Times New Roman" w:eastAsia="Times New Roman" w:hAnsi="Times New Roman"/>
          <w:sz w:val="17"/>
          <w:szCs w:val="17"/>
          <w:color w:val="auto"/>
        </w:rPr>
        <w:t>Further, we rely on third parties located in China for some of our contract manufacturing, and we expect to continue to use such third-party manufacturers for such purposes. For any activities conducted in China, we are exposed to the possibility of product supply disruption and increased costs in the event of changes in the policies of the United States or Chinese governments, political unrest or unstable economic conditions in China.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therapeutic candidates. Such events could result in our clinical or commercial supply of drug, packaging and other services being interrupted or limited, which could harm our business.</w:t>
      </w:r>
    </w:p>
    <w:p>
      <w:pPr>
        <w:spacing w:after="0" w:line="67" w:lineRule="exact"/>
        <w:rPr>
          <w:sz w:val="20"/>
          <w:szCs w:val="20"/>
          <w:color w:val="auto"/>
        </w:rPr>
      </w:pPr>
    </w:p>
    <w:p>
      <w:pPr>
        <w:ind w:right="140" w:firstLine="619"/>
        <w:spacing w:after="0" w:line="271" w:lineRule="auto"/>
        <w:rPr>
          <w:sz w:val="20"/>
          <w:szCs w:val="20"/>
          <w:color w:val="auto"/>
        </w:rPr>
      </w:pPr>
      <w:r>
        <w:rPr>
          <w:rFonts w:ascii="Times New Roman" w:cs="Times New Roman" w:eastAsia="Times New Roman" w:hAnsi="Times New Roman"/>
          <w:sz w:val="17"/>
          <w:szCs w:val="17"/>
          <w:color w:val="auto"/>
        </w:rPr>
        <w:t>We may be unable to establish agreements with CMOs or to do so on acceptable terms. Even if we are able to establish agreements with CMOs, reliance on them entails additional risks, including:</w:t>
      </w:r>
    </w:p>
    <w:p>
      <w:pPr>
        <w:spacing w:after="0" w:line="61" w:lineRule="exact"/>
        <w:rPr>
          <w:sz w:val="20"/>
          <w:szCs w:val="20"/>
          <w:color w:val="auto"/>
        </w:rPr>
      </w:pPr>
    </w:p>
    <w:p>
      <w:pPr>
        <w:ind w:left="920" w:hanging="298"/>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the CMO for regulatory, compliance and quality assurance;</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possible breach of the manufacturing agreement by the CMO;</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possible misappropriation of our proprietary information, including our trade secrets and know-how; and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possible termination or nonrenewal of the agreement by the CMO at a time that is costly or inconvenient for us.</w:t>
      </w:r>
    </w:p>
    <w:p>
      <w:pPr>
        <w:spacing w:after="0" w:line="101" w:lineRule="exact"/>
        <w:rPr>
          <w:sz w:val="20"/>
          <w:szCs w:val="20"/>
          <w:color w:val="auto"/>
        </w:rPr>
      </w:pPr>
    </w:p>
    <w:p>
      <w:pPr>
        <w:ind w:right="200" w:firstLine="619"/>
        <w:spacing w:after="0" w:line="254" w:lineRule="auto"/>
        <w:rPr>
          <w:sz w:val="20"/>
          <w:szCs w:val="20"/>
          <w:color w:val="auto"/>
        </w:rPr>
      </w:pPr>
      <w:r>
        <w:rPr>
          <w:rFonts w:ascii="Times New Roman" w:cs="Times New Roman" w:eastAsia="Times New Roman" w:hAnsi="Times New Roman"/>
          <w:sz w:val="17"/>
          <w:szCs w:val="17"/>
          <w:color w:val="auto"/>
        </w:rPr>
        <w:t>We have only limited technology transfer agreements in place with respect to our drug candidates, and these arrangements do not extend to commercial supply. We acquire many key materials on a purchase order basis. As a result, we do not have long-term committed arrangements with respect to our drug candidates and other materials. If we receive marketing approval for any of our drug candidates, we will need to establish an agreement for commercial manufacture with a third party.</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60" w:firstLine="619"/>
        <w:spacing w:after="0" w:line="249" w:lineRule="auto"/>
        <w:rPr>
          <w:sz w:val="20"/>
          <w:szCs w:val="20"/>
          <w:color w:val="auto"/>
        </w:rPr>
      </w:pPr>
      <w:r>
        <w:rPr>
          <w:rFonts w:ascii="Times New Roman" w:cs="Times New Roman" w:eastAsia="Times New Roman" w:hAnsi="Times New Roman"/>
          <w:sz w:val="17"/>
          <w:szCs w:val="17"/>
          <w:color w:val="auto"/>
        </w:rPr>
        <w:t>The CMOs we retain may not be able to comply with cGMP regulations or similar regulatory requirements outside of the United States. Our failure, or the failure of our CMOs, to comply with applicable regulations could result in sanctions or other adverse regulatory actions, including untitled or warning letters, clinical holds, fines, injunctions, civil penalties, delays, suspension or withdrawal of approvals, failure to approve pending applications, license revocation, seizures or recalls of drug candidates or products, operating restrictions and criminal prosecutions, any of which could significantly and adversely affect supplies of our products.</w:t>
      </w:r>
    </w:p>
    <w:p>
      <w:pPr>
        <w:spacing w:after="0" w:line="82"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The facilities used by our contract manufacturers to manufacture our drug candidates must be approved by the FDA or the EMA or other national or international regulatory agencies pursuant to inspections that will be conducted after we submit our new drug application (NDA) to the FDA or our MAA to the EMA or other regulatory authority.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the EMA or comparable foreign regulatory bodies, they will not be able to secure and/or maintain approval for their manufacturing facilities. In addition, we do not have complete control over the ability of our contract manufacturers to maintain adequate quality control, quality assurance and qualified personnel. If the FDA, the EMA or a comparable foreign regulatory authority does not approve these facilities for the manufacture of our drug candidates or if such regulatory authority withdraws any such approval in the future, we may need to find alternative manufacturing facilities, which would significantly impact our ability to develop, obtain marketing approval for or market our drug candidates, if approved.</w:t>
      </w:r>
    </w:p>
    <w:p>
      <w:pPr>
        <w:spacing w:after="0" w:line="74" w:lineRule="exact"/>
        <w:rPr>
          <w:sz w:val="20"/>
          <w:szCs w:val="20"/>
          <w:color w:val="auto"/>
        </w:rPr>
      </w:pPr>
    </w:p>
    <w:p>
      <w:pPr>
        <w:ind w:right="260" w:firstLine="619"/>
        <w:spacing w:after="0" w:line="262" w:lineRule="auto"/>
        <w:rPr>
          <w:sz w:val="20"/>
          <w:szCs w:val="20"/>
          <w:color w:val="auto"/>
        </w:rPr>
      </w:pPr>
      <w:r>
        <w:rPr>
          <w:rFonts w:ascii="Times New Roman" w:cs="Times New Roman" w:eastAsia="Times New Roman" w:hAnsi="Times New Roman"/>
          <w:sz w:val="17"/>
          <w:szCs w:val="17"/>
          <w:color w:val="auto"/>
        </w:rPr>
        <w:t>Our drug candidates and any products that we may develop may compete with other drug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56" w:lineRule="exact"/>
        <w:rPr>
          <w:sz w:val="20"/>
          <w:szCs w:val="20"/>
          <w:color w:val="auto"/>
        </w:rPr>
      </w:pPr>
    </w:p>
    <w:p>
      <w:pPr>
        <w:ind w:right="20" w:firstLine="619"/>
        <w:spacing w:after="0" w:line="253" w:lineRule="auto"/>
        <w:rPr>
          <w:sz w:val="20"/>
          <w:szCs w:val="20"/>
          <w:color w:val="auto"/>
        </w:rPr>
      </w:pPr>
      <w:r>
        <w:rPr>
          <w:rFonts w:ascii="Times New Roman" w:cs="Times New Roman" w:eastAsia="Times New Roman" w:hAnsi="Times New Roman"/>
          <w:sz w:val="17"/>
          <w:szCs w:val="17"/>
          <w:color w:val="auto"/>
        </w:rPr>
        <w:t>Any performance failure on the part of our existing or future manufacturers could delay clinical development or marketing approval or could result in withdrawal of marketing approval. We do not currently have arrangements in place for redundant supply or a second source for bulk drug substance. If our current CMOs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 manufacturer or may not be able to reach agreement with any alternative manufacturer.</w:t>
      </w:r>
    </w:p>
    <w:p>
      <w:pPr>
        <w:spacing w:after="0" w:line="65" w:lineRule="exact"/>
        <w:rPr>
          <w:sz w:val="20"/>
          <w:szCs w:val="20"/>
          <w:color w:val="auto"/>
        </w:rPr>
      </w:pPr>
    </w:p>
    <w:p>
      <w:pPr>
        <w:ind w:right="160" w:firstLine="619"/>
        <w:spacing w:after="0" w:line="271" w:lineRule="auto"/>
        <w:rPr>
          <w:sz w:val="20"/>
          <w:szCs w:val="20"/>
          <w:color w:val="auto"/>
        </w:rPr>
      </w:pPr>
      <w:r>
        <w:rPr>
          <w:rFonts w:ascii="Times New Roman" w:cs="Times New Roman" w:eastAsia="Times New Roman" w:hAnsi="Times New Roman"/>
          <w:sz w:val="17"/>
          <w:szCs w:val="17"/>
          <w:color w:val="auto"/>
        </w:rPr>
        <w:t>Our current and anticipated future dependence upon others for the manufacture of our drug candidates or products may adversely affect our future profit margins and our ability to commercialize any products that receive marketing approval on a timely and competitive basis.</w:t>
      </w:r>
    </w:p>
    <w:p>
      <w:pPr>
        <w:spacing w:after="0" w:line="15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Some of our suppliers may experience disruption to their respective supply chain due to the effects of macroeconomic conditions, which could delay, prevent or impair our development or commercialization efforts.</w:t>
      </w:r>
    </w:p>
    <w:p>
      <w:pPr>
        <w:spacing w:after="0" w:line="43"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We obtain certain chemical or biological intermediates in the synthesis of our drug candidates and natural health products (NHPs) for toxicology testing in countries affected by macroeconomic events and conditions, including inflation, increasing interest rates, uncertainty with respect to the federal budget and debt ceiling and potential government shutdowns related thereto, increasing financial market volatility and uncertainty, the impact of war or military conflict, including regional conflicts around the world, and public health pandemics. If we are unable to obtain these chemical or biological intermediates or NHPs in sufficient quantity and in a timely manner due to disruptions in the global supply chain caused by macroeconomic events and conditions, the development, testing and clinical trials of that drug candidate may be delayed or infeasible, and regulatory approval or commercial launch of any resulting product may be delayed or not obtained, which could significantly harm our business.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CMOs may be unable to successfully scale-up manufacturing of our drug candidates in sufficient quality and quantity, which would delay or prevent us from developing our drug candidates and commercializing approved products, if any.</w:t>
      </w:r>
    </w:p>
    <w:p>
      <w:pPr>
        <w:spacing w:after="0" w:line="43"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In order to conduct clinical trials of our drug candidates, we will need to manufacture our drug candidates in large quantities. Quality issues may arise during scale-up activities. Our reliance on a limited number of CMOs, the complexity of drug manufacturing and the difficulty of scaling up a manufacturing process could cause the delay of clinical trials, regulatory submissions, required approvals or commercialization of our drug candidates, cause us to incur higher costs and prevent us from commercializing our drug candidates successfully. Furthermore, if our CMOs fail to deliver the required commercial quality and quantities of materials on a timely basis and at commercially reasonable prices, and we are unable to secure one or more replacement CMOs capable of production in a timely manner at a substantially equivalent cost, then testing and clinical trials of that drug candidate may be delayed or infeasible, and regulatory approval or commercial launch of any resulting product may be delayed or not obtained, which could significantly harm our business.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Commercialization of Our Drug Candidates</w:t>
      </w:r>
    </w:p>
    <w:p>
      <w:pPr>
        <w:spacing w:after="0" w:line="112"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Even if any of our drug candidates receive marketing approval, a drug candidate may fail to achieve the degree of market acceptance by physicians, patients, third-party payors and others in the medical community necessary for commercial success.</w:t>
      </w:r>
    </w:p>
    <w:p>
      <w:pPr>
        <w:spacing w:after="0" w:line="43" w:lineRule="exact"/>
        <w:rPr>
          <w:sz w:val="20"/>
          <w:szCs w:val="20"/>
          <w:color w:val="auto"/>
        </w:rPr>
      </w:pPr>
    </w:p>
    <w:p>
      <w:pPr>
        <w:ind w:right="260" w:firstLine="619"/>
        <w:spacing w:after="0" w:line="253" w:lineRule="auto"/>
        <w:rPr>
          <w:sz w:val="20"/>
          <w:szCs w:val="20"/>
          <w:color w:val="auto"/>
        </w:rPr>
      </w:pPr>
      <w:r>
        <w:rPr>
          <w:rFonts w:ascii="Times New Roman" w:cs="Times New Roman" w:eastAsia="Times New Roman" w:hAnsi="Times New Roman"/>
          <w:sz w:val="17"/>
          <w:szCs w:val="17"/>
          <w:color w:val="auto"/>
        </w:rPr>
        <w:t>If any of our drug candidates receive marketing approval, they may nonetheless fail to gain sufficient market acceptance by physicians, patients, third-party payors and others in the medical community. For example, ibrutinib is a well-established current treatment for chronic lymphocytic leukemia (CLL), and doctors may continue to rely on this and other treatments. If our drug candidates do not achieve an adequate level of acceptance, we may not generate sufficient revenue from product sales and we may not become profitable. The degree of market acceptance of our drug candidates, if approved for commercial sale, will depend on a number of factors, including:</w:t>
      </w:r>
    </w:p>
    <w:p>
      <w:pPr>
        <w:spacing w:after="0" w:line="65" w:lineRule="exact"/>
        <w:rPr>
          <w:sz w:val="20"/>
          <w:szCs w:val="20"/>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and potential advantages compared to alternative treatments;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any side effects, in particular compared to alternative treatments;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offer our products for sale at competitive prices;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convenience and ease of administration compared to alternative treatments;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the target patient population to try new therapies and of physicians to prescribe these therapies;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strength of our marketing, sales and distribution support;</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third-party payor coverage and adequate reimbursement;</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secure a positive HTA recommendation for the product to be prescribed and reimbursed under the national health system;</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any marketing approval in relation to other product approvals; and</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restrictions on the use of our products together with other medications.</w:t>
      </w:r>
    </w:p>
    <w:p>
      <w:pPr>
        <w:spacing w:after="0" w:line="198" w:lineRule="exact"/>
        <w:rPr>
          <w:sz w:val="20"/>
          <w:szCs w:val="20"/>
          <w:color w:val="auto"/>
        </w:rPr>
      </w:pPr>
    </w:p>
    <w:p>
      <w:pPr>
        <w:ind w:right="7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establish sales and marketing capabilities, we may not be successful in commercializing our drug candidates if and when they are approved.</w:t>
      </w:r>
    </w:p>
    <w:p>
      <w:pPr>
        <w:spacing w:after="0" w:line="43" w:lineRule="exact"/>
        <w:rPr>
          <w:sz w:val="20"/>
          <w:szCs w:val="20"/>
          <w:color w:val="auto"/>
        </w:rPr>
      </w:pPr>
    </w:p>
    <w:p>
      <w:pPr>
        <w:ind w:right="20" w:firstLine="619"/>
        <w:spacing w:after="0" w:line="262" w:lineRule="auto"/>
        <w:rPr>
          <w:sz w:val="20"/>
          <w:szCs w:val="20"/>
          <w:color w:val="auto"/>
        </w:rPr>
      </w:pPr>
      <w:r>
        <w:rPr>
          <w:rFonts w:ascii="Times New Roman" w:cs="Times New Roman" w:eastAsia="Times New Roman" w:hAnsi="Times New Roman"/>
          <w:sz w:val="17"/>
          <w:szCs w:val="17"/>
          <w:color w:val="auto"/>
        </w:rPr>
        <w:t>We do not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by ourselves or through collaboration or other arrangements with third parties.</w:t>
      </w:r>
    </w:p>
    <w:p>
      <w:pPr>
        <w:spacing w:after="0" w:line="56"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color w:val="auto"/>
        </w:rPr>
        <w:t>We currently expect that we may build our own focused, specialized sales and marketing organization to support the commercialization in the United States of drug candidates for which we receive marketing approval and which can be commercialized with such capabilities. There are risks involved with establishing our own sales and marketing capabilities. For example, recruiting and training a sales force is expensive and time-consuming and could delay any product launch. If the commercial launch of a drug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w:t>
      </w:r>
    </w:p>
    <w:p>
      <w:pPr>
        <w:spacing w:after="0" w:line="200" w:lineRule="exact"/>
        <w:rPr>
          <w:sz w:val="20"/>
          <w:szCs w:val="20"/>
          <w:color w:val="auto"/>
        </w:rPr>
      </w:pPr>
    </w:p>
    <w:p>
      <w:pPr>
        <w:spacing w:after="0" w:line="34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Factors that may inhibit our efforts to commercialize our products on our own include:</w:t>
      </w:r>
    </w:p>
    <w:p>
      <w:pPr>
        <w:spacing w:after="0" w:line="101" w:lineRule="exact"/>
        <w:rPr>
          <w:sz w:val="20"/>
          <w:szCs w:val="20"/>
          <w:color w:val="auto"/>
        </w:rPr>
      </w:pPr>
    </w:p>
    <w:p>
      <w:pPr>
        <w:ind w:left="940" w:right="240" w:hanging="318"/>
        <w:spacing w:after="0" w:line="287" w:lineRule="auto"/>
        <w:tabs>
          <w:tab w:leader="none" w:pos="9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recruit, train and retain adequate numbers of effective sales, marketing, reimbursement, customer service, medical affairs and other support personnel;</w:t>
      </w:r>
    </w:p>
    <w:p>
      <w:pPr>
        <w:spacing w:after="0" w:line="35" w:lineRule="exact"/>
        <w:rPr>
          <w:rFonts w:ascii="Times New Roman" w:cs="Times New Roman" w:eastAsia="Times New Roman" w:hAnsi="Times New Roman"/>
          <w:sz w:val="17"/>
          <w:szCs w:val="17"/>
          <w:color w:val="auto"/>
        </w:rPr>
      </w:pPr>
    </w:p>
    <w:p>
      <w:pPr>
        <w:ind w:left="940" w:right="380" w:hanging="318"/>
        <w:spacing w:after="0" w:line="271" w:lineRule="auto"/>
        <w:tabs>
          <w:tab w:leader="none" w:pos="9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complementary products to be offered by sales personnel, which may put us at a competitive disadvantage relative to companies with more extensive product lines; and</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costs and expenses associated with creating an independent sales and marketing organization.</w:t>
      </w:r>
    </w:p>
    <w:p>
      <w:pPr>
        <w:spacing w:after="0" w:line="101"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If we are unable to establish our own sales and marketing capabilities or enter into arrangements with third parties to perform these services, our revenue from product sales and our profitability, if any, are likely to be lower than if we ourselves were to market and sell any products that we develop. In addition, we may not be successful in entering into arrangements with third parties to market and sell our drug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drug candidates.</w:t>
      </w:r>
    </w:p>
    <w:p>
      <w:pPr>
        <w:spacing w:after="0" w:line="179"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Even if we are able to commercialize any drug candidates, the products may become subject to unfavorable pricing regulations, third-party reimbursement practices or healthcare reform initiatives, or fail to secure a positive health technology assessment, which would harm our business.</w:t>
      </w:r>
    </w:p>
    <w:p>
      <w:pPr>
        <w:spacing w:after="0" w:line="43" w:lineRule="exact"/>
        <w:rPr>
          <w:sz w:val="20"/>
          <w:szCs w:val="20"/>
          <w:color w:val="auto"/>
        </w:rPr>
      </w:pPr>
    </w:p>
    <w:p>
      <w:pPr>
        <w:ind w:right="140" w:firstLine="619"/>
        <w:spacing w:after="0" w:line="245" w:lineRule="auto"/>
        <w:rPr>
          <w:sz w:val="20"/>
          <w:szCs w:val="20"/>
          <w:color w:val="auto"/>
        </w:rPr>
      </w:pPr>
      <w:r>
        <w:rPr>
          <w:rFonts w:ascii="Times New Roman" w:cs="Times New Roman" w:eastAsia="Times New Roman" w:hAnsi="Times New Roman"/>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drug candidate to other available therapies.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drug candidates, even if our drug candidates obtain marketing approval.</w:t>
      </w:r>
    </w:p>
    <w:p>
      <w:pPr>
        <w:spacing w:after="0" w:line="86"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Our ability to commercialize any drug candidates successfully also will depend in part on the extent to which coverage and adequate reimbursement for these products and related treatments will be available from government healthcare programs, private health insurers, national health technology assessment authorities in Europe and other organizations, and if reimbursement and coverage is available, the level of reimbursement and coverage. Government authorities and third-party payors, such as private health insurers and health maintenance organizations, decide which medications they will pay for and establish reimbursement levels. A key focus in the U.S. healthcare industry and elsewhere is cost containment. Government authorities and third-party payors have attempted to control costs by limiting coverage and the amount of reimbursement for particular medications, as well as mandating a system of manufacturer rebates to government payors.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sufficient to cover our costs. Reimbursement may affect the demand for, or the price of, any drug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drug candidate for which we obtain marketing approval.</w:t>
      </w:r>
    </w:p>
    <w:p>
      <w:pPr>
        <w:spacing w:after="0" w:line="200" w:lineRule="exact"/>
        <w:rPr>
          <w:sz w:val="20"/>
          <w:szCs w:val="20"/>
          <w:color w:val="auto"/>
        </w:rPr>
      </w:pPr>
    </w:p>
    <w:p>
      <w:pPr>
        <w:spacing w:after="0" w:line="35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across the entire eligible patient population, as a first-line treatment or at a rate that covers our costs, including research, development, intellectual property, manufacture, sale and distribution expenses. Interim reimbursement levels for new drugs, if applicable, also may not be sufficient to cover our costs and may not be made permanent. Reimbursement rates may vary according to the use of the drug and the clinical setting in which it is used, may be based on reimbursement levels already set for lower cost drugs, may take into account comparative cost-effectiveness, particularly in European jurisdictions,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results of operations, our ability to raise capital needed to commercialize products and our overall financial condition.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liability lawsuits against us could cause us to incur substantial liabilities and to limit commercialization of any products that we may develop.</w:t>
      </w:r>
    </w:p>
    <w:p>
      <w:pPr>
        <w:spacing w:after="0" w:line="120" w:lineRule="exact"/>
        <w:rPr>
          <w:sz w:val="20"/>
          <w:szCs w:val="20"/>
          <w:color w:val="auto"/>
        </w:rPr>
      </w:pPr>
    </w:p>
    <w:p>
      <w:pPr>
        <w:jc w:val="both"/>
        <w:ind w:right="280" w:firstLine="619"/>
        <w:spacing w:after="0" w:line="262" w:lineRule="auto"/>
        <w:rPr>
          <w:sz w:val="20"/>
          <w:szCs w:val="20"/>
          <w:color w:val="auto"/>
        </w:rPr>
      </w:pPr>
      <w:r>
        <w:rPr>
          <w:rFonts w:ascii="Times New Roman" w:cs="Times New Roman" w:eastAsia="Times New Roman" w:hAnsi="Times New Roman"/>
          <w:sz w:val="17"/>
          <w:szCs w:val="17"/>
          <w:color w:val="auto"/>
        </w:rPr>
        <w:t>We face an inherent risk of product liability exposure related to the testing of our drug candidates in human clinical trials and will face an even greater risk if we commercially sell any products that we may develop. If we cannot successfully defend ourselves against claims that our drug candidates or products caused injuries, we will incur substantial liabilities. Regardless of merit or eventual outcome, liability claims may result in:</w:t>
      </w:r>
    </w:p>
    <w:p>
      <w:pPr>
        <w:spacing w:after="0" w:line="56" w:lineRule="exact"/>
        <w:rPr>
          <w:sz w:val="20"/>
          <w:szCs w:val="20"/>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any drug candidates or products that we may develop;</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of clinical trials;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marketing approval, recall, restriction on the approval or a “black box” warning or contraindication for an approved drug;</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clinical trial participants;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costs to defend the related litigation;</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monetary awards to trial participants or patients;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injury to our reputation and significant negative media attention;</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resources of our management to pursue our business strategy; and</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commercialize any products that we may develop.</w:t>
      </w:r>
    </w:p>
    <w:p>
      <w:pPr>
        <w:spacing w:after="0" w:line="101"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Although we maintain product liability insurance coverage, it may not be adequate to cover all liabilities that we may incur. We anticipate that we will need to increase our product liability insurance coverage as we initiate our clinical trials, as we expand our clinical trials and if we commence commercialization of our drug candidates. Insurance coverage is increasingly expensive. We may not be able to maintain or increase our insurance coverage at a reasonable cost or in an amount adequate to satisfy any liability that may arise.</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112"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spacing w:after="0" w:line="64" w:lineRule="exact"/>
        <w:rPr>
          <w:sz w:val="20"/>
          <w:szCs w:val="20"/>
          <w:color w:val="auto"/>
        </w:rPr>
      </w:pPr>
    </w:p>
    <w:p>
      <w:pPr>
        <w:ind w:right="80" w:firstLine="619"/>
        <w:spacing w:after="0" w:line="245" w:lineRule="auto"/>
        <w:rPr>
          <w:sz w:val="20"/>
          <w:szCs w:val="20"/>
          <w:color w:val="auto"/>
        </w:rPr>
      </w:pPr>
      <w:r>
        <w:rPr>
          <w:rFonts w:ascii="Times New Roman" w:cs="Times New Roman" w:eastAsia="Times New Roman" w:hAnsi="Times New Roman"/>
          <w:sz w:val="17"/>
          <w:szCs w:val="17"/>
          <w:color w:val="auto"/>
        </w:rPr>
        <w:t>Our commercial success depends, in large part, on our ability to obtain and maintain patent and other intellectual property and proprietary protection in the United States and other countries with respect to our current drug candidates, future drug candidates that we may develop and proprietary technology. We seek to protect our proprietary position by filing patent applications in the United States and abroad related to our novel technologies and drug candidates. If we are unable to obtain or maintain patent protection with respect to our proprietary drug candidates and technology or do not otherwise adequately protect our intellectual property, competitors and other third parties may be able to use our drug candidates and technologies and erode or negate any competitive advantage that we may have, which could have a material adverse effect on our business. Any disclosure to or misappropriation by third parties of our confidential proprietary information could enable competitors and other third parties to quickly duplicate or surpass our technological achievements, thus eroding our competitive position in our market. Moreover, the patent applications we own, co-own or license may fail to result in issued patents that cover our current and future drug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 If the patent applications we hold with respect to our development programs and drug candidates fail to issue, if their breadth or strength of protection is threatened or if they fail to provide meaningful exclusivity for our current and future drug candidates, it could have a material adverse effect on our ability to commercialize our drug candidates and our business.</w:t>
      </w:r>
    </w:p>
    <w:p>
      <w:pPr>
        <w:spacing w:after="0" w:line="274" w:lineRule="exact"/>
        <w:rPr>
          <w:sz w:val="20"/>
          <w:szCs w:val="20"/>
          <w:color w:val="auto"/>
        </w:rPr>
      </w:pPr>
    </w:p>
    <w:p>
      <w:pPr>
        <w:ind w:right="60" w:firstLine="619"/>
        <w:spacing w:after="0" w:line="247" w:lineRule="auto"/>
        <w:rPr>
          <w:sz w:val="20"/>
          <w:szCs w:val="20"/>
          <w:color w:val="auto"/>
        </w:rPr>
      </w:pPr>
      <w:r>
        <w:rPr>
          <w:rFonts w:ascii="Times New Roman" w:cs="Times New Roman" w:eastAsia="Times New Roman" w:hAnsi="Times New Roman"/>
          <w:sz w:val="17"/>
          <w:szCs w:val="17"/>
          <w:color w:val="auto"/>
        </w:rPr>
        <w:t>To protect our proprietary positions, we file patent applications in the United States and other countries related to our novel technologies and drug candidates that are important to our business. The patent application and prosecution process is expensive, complex and time-consuming, and we may not be able to file and prosecute all necessary or desirable patent applications in all potential jurisdictions at a reasonable cost or in a timely manner.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and it is possible that we may be unable to correct such defects.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and other third parties may independently develop equivalent knowledge, methods and know-how, or design around our claimed subject matter. Any of these outcomes could impair our ability to prevent competition from third parties.</w:t>
      </w:r>
    </w:p>
    <w:p>
      <w:pPr>
        <w:spacing w:after="0" w:line="69"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17"/>
          <w:szCs w:val="17"/>
          <w:color w:val="auto"/>
        </w:rPr>
        <w:t>Method of use patents protect the use of a product for the specified method. This type of patent does not prevent a competitor from making and marketing a product that is identical to our therapeutics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 Consequently, the types of claims in issued patents of our patent portfolio may fail to afford strong protection against third-party infringement.</w:t>
      </w:r>
    </w:p>
    <w:p>
      <w:pPr>
        <w:spacing w:after="0" w:line="82"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The patent position of biotechnology and pharmaceutical companies generally is highly uncertain, involves complex legal and factual questions and has in recent years been the subject of much litigation, resulting in court decisions, including U.S. Supreme Court decisions, which have increased uncertainties as to the ability to enforce patent rights in the future. In addition, the protections offered by laws of different countries vary and the laws of foreign countries may not protect our rights to the same extent as the laws of the United States. For example, European patent law and jurisprudence restricts the patentability of methods of treatment of the human body more than U.S. patent law does.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have in recent years been the subject of much litigation. As a result, the issuance, scope, validity, enforceability and commercial value of our patent rights, whether owned or in-licensed, are highly uncertain.</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17"/>
          <w:szCs w:val="17"/>
          <w:color w:val="auto"/>
        </w:rPr>
        <w:t xml:space="preserve">We may not be aware of all third-party intellectual property rights potentially relating to our current and future drug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typically are not published until 18 months after filing, or in some cases not at all. Therefore, we cannot know with certainty whether we or our licensors were the first to make the inventions claimed in our patents or pending patent applications, or that we or our licensors were the first inventors to file for patent protection of such inventions. As a result, the issuance, scope, validity, enforceability and commercial value of our patent rights are highly uncertain. Our pending and future patent applications, whether owned or in-licensed, may not result in patents being issued that protect our technology or drug candidates,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Moreover, we may be subject to third-party challenges in patent offices in the United States and abroad. Even issued patents may later be found invalid or unenforceable or may be modified or revoked in proceedings instituted by third parties before various patent offices or in courts. For example, our pending patent applications may be subject to third-party submissions of prior art to the United States Patent and Trademark Office (USPTO) challenging the validity of one or more claims of our owned or licensed pending patent applications, precluding the granting of a patent based on one of our owned or licensed pending patent applications or we may become involved in opposition, derivation, reexamination,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post-grant review or other post-grant proceedings, in the United States or elsewhere, challenging our or our licensors’ patent rights or the patent rights of others. An adverse determination in any such challenge could reduce the scope of, or invalidate, our patent rights, allow third parties to commercialize our technology or drug candidates and compete directly with us, without payment to us, or result in our inability to manufacture or commercialize products without infringing third-party patent rights, which could significantly harm our business and results of operations. Such challenges may result in loss of patent rights or exclusivity, or in patent claims being narrowed, invalidated or held unenforceable, in whole or in part, which could limit our ability to stop others from using or commercializing similar or identical technology and drug candidates, or limit the duration of the patent protection of our technology and drug candidates. Such proceedings also may result in substantial cost and require significant time from our scientific personnel and management, even if the eventual outcome is favorable to us. In addition, any threat to the breadth or strength of protection provided by our patents and patent applications could dissuade companies from collaborating with us to license, develop or commercialize current or future drug candidates.</w:t>
      </w:r>
    </w:p>
    <w:p>
      <w:pPr>
        <w:spacing w:after="0" w:line="102" w:lineRule="exact"/>
        <w:rPr>
          <w:sz w:val="20"/>
          <w:szCs w:val="20"/>
          <w:color w:val="auto"/>
        </w:rPr>
      </w:pPr>
    </w:p>
    <w:p>
      <w:pPr>
        <w:ind w:right="60" w:firstLine="619"/>
        <w:spacing w:after="0" w:line="245" w:lineRule="auto"/>
        <w:rPr>
          <w:sz w:val="20"/>
          <w:szCs w:val="20"/>
          <w:color w:val="auto"/>
        </w:rPr>
      </w:pPr>
      <w:r>
        <w:rPr>
          <w:rFonts w:ascii="Times New Roman" w:cs="Times New Roman" w:eastAsia="Times New Roman" w:hAnsi="Times New Roman"/>
          <w:sz w:val="17"/>
          <w:szCs w:val="17"/>
          <w:color w:val="auto"/>
        </w:rPr>
        <w:t>Even if our patent applications issue as patents and are unchallenged, they may not issue in a form that will provide us with any meaningful protection against competing products or processes sufficient to achieve our business objectives, prevent competitors and other third parties from competing with us or otherwise provide us with any competitive advantage. Our competitors and other third parties may be able to design around or circumvent our patents, should they issue, by developing similar or alternative technologies or products in a non-infringing manner. Our competitors and other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 If the patent protection provided by the patents and patent applications we own or license is not sufficiently broad and strong to impede such competition, our ability to successfully commercialize our drug candidates could be negatively affected and companies may be dissuaded from collaborating with us, which could have a material adverse effect on our business, financial condition, results of operations and prospects.</w:t>
      </w:r>
    </w:p>
    <w:p>
      <w:pPr>
        <w:spacing w:after="0" w:line="86"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17"/>
          <w:szCs w:val="17"/>
          <w:color w:val="auto"/>
        </w:rPr>
        <w:t>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similar or identical to ours. The degree of future protection for our proprietary rights is uncertain. Only limited protection may be available and may not adequately protect our rights or permit us to gain or keep any competitive advantage. Any of the foregoing could have a material adverse effect on our business, financial condition, results of operations and prospects.</w:t>
      </w:r>
    </w:p>
    <w:p>
      <w:pPr>
        <w:spacing w:after="0" w:line="166"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Changes in patent law in the United States and in non-U.S. jurisdictions could diminish the value of patents in general, thereby impairing our ability to protect our drug candidates.</w:t>
      </w:r>
    </w:p>
    <w:p>
      <w:pPr>
        <w:spacing w:after="0" w:line="43"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As is the case with other biopharmaceutical companies, our success is heavily dependent on intellectual property, particularly patents. Obtaining and enforcing patents in the biopharmaceutical industry involves both technological and legal complexity, and therefore is costly, time-consuming and inherently uncertain. Past or future patent reform legislation in the United States and other countries could increase the uncertainties and costs surrounding the prosecution of patent applications and the enforcement or defense of issued patents, may diminish the value of our patents or narrow the scope of our patent protection and may affect the scope, strength and enforceability of our patent rights or the nature of proceedings that may be brought by or against us related to our patent rights.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firstLine="619"/>
        <w:spacing w:after="0" w:line="248" w:lineRule="auto"/>
        <w:rPr>
          <w:sz w:val="20"/>
          <w:szCs w:val="20"/>
          <w:color w:val="auto"/>
        </w:rPr>
      </w:pPr>
      <w:r>
        <w:rPr>
          <w:rFonts w:ascii="Times New Roman" w:cs="Times New Roman" w:eastAsia="Times New Roman" w:hAnsi="Times New Roman"/>
          <w:sz w:val="17"/>
          <w:szCs w:val="17"/>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and actions by the U.S. Congress, the U.S. Supreme Court,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Any of the foregoing, including any similar adverse changes in the patent laws of other jurisdictions, could also have a material adverse effect on our business, financial condition, results of operations and prospects.</w:t>
      </w:r>
    </w:p>
    <w:p>
      <w:pPr>
        <w:spacing w:after="0" w:line="166"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Even if we are able to obtain patent protection for our drug candidates, the life of such protection is limited, and third parties could develop and commercialize products and technologies similar or identical to ours and compete directly against us after the expiration of our patent rights and our ability to successfully commercialize any product or technology would be materially adversely affected.</w:t>
      </w:r>
    </w:p>
    <w:p>
      <w:pPr>
        <w:spacing w:after="0" w:line="61" w:lineRule="exact"/>
        <w:rPr>
          <w:sz w:val="20"/>
          <w:szCs w:val="20"/>
          <w:color w:val="auto"/>
        </w:rPr>
      </w:pPr>
    </w:p>
    <w:p>
      <w:pPr>
        <w:ind w:firstLine="619"/>
        <w:spacing w:after="0" w:line="253" w:lineRule="auto"/>
        <w:rPr>
          <w:sz w:val="20"/>
          <w:szCs w:val="20"/>
          <w:color w:val="auto"/>
        </w:rPr>
      </w:pPr>
      <w:r>
        <w:rPr>
          <w:rFonts w:ascii="Times New Roman" w:cs="Times New Roman" w:eastAsia="Times New Roman" w:hAnsi="Times New Roman"/>
          <w:sz w:val="17"/>
          <w:szCs w:val="17"/>
          <w:color w:val="auto"/>
        </w:rPr>
        <w:t>The life of a patent and the protection it affords is limited. For example, in the United States, if all maintenance fees are timely paid, the natural expiration of a patent is generally 20 years from its earliest U.S. non-provisional filing date. Even if we successfully obtain patent protection for an approved drug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w:t>
      </w:r>
    </w:p>
    <w:p>
      <w:pPr>
        <w:spacing w:after="0" w:line="65" w:lineRule="exact"/>
        <w:rPr>
          <w:sz w:val="20"/>
          <w:szCs w:val="20"/>
          <w:color w:val="auto"/>
        </w:rPr>
      </w:pPr>
    </w:p>
    <w:p>
      <w:pPr>
        <w:ind w:right="60" w:firstLine="619"/>
        <w:spacing w:after="0" w:line="244" w:lineRule="auto"/>
        <w:rPr>
          <w:sz w:val="20"/>
          <w:szCs w:val="20"/>
          <w:color w:val="auto"/>
        </w:rPr>
      </w:pPr>
      <w:r>
        <w:rPr>
          <w:rFonts w:ascii="Times New Roman" w:cs="Times New Roman" w:eastAsia="Times New Roman" w:hAnsi="Times New Roman"/>
          <w:sz w:val="17"/>
          <w:szCs w:val="17"/>
          <w:color w:val="auto"/>
        </w:rPr>
        <w:t>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Upon issuance in the United States, the term of a patent can be increased by patent term adjustment based on certain delays caused by the USPTO, but this increase can be reduced or eliminated based on certain delays caused by the patent applicant during patent prosecution. The term of a U.S. patent may also be shortened if the patent is terminally disclaimed over an earlier-filed patent. A patent term extension (PTE) based on regulatory delay may be available in the United States and in other jurisdictions, such as the UK and the EU, including through a supplementary protection certificate (SPC). In the EU and the UK, patent protection can be extended for a maximum period of five years and six months under certain circumstances. However, only a single patent can be extended for each marketing approval, and any patent can be extended only once, for a single product. Laws governing extensions analogous to PTEs in foreign jurisdictions vary widely, as do laws governing the ability to obtain multiple patents from a single patent family. Additionally, we may not receive an extension if we fail to exercise due diligence during the testing phase or regulatory review process, apply within applicable deadlines, fail to apply prior to expiration of relevant patents or otherwise fail to satisfy applicable requirements. If we are unable to obtain PTE or restoration, or the term of any such extension is less than we request, the period during which we will have the right to exclusively market our therapeutic will be shorter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 and our revenue could be reduced, possibly materially. Upon the expiration of patents that may issue from our pending patent applications, we will not be able to assert such patent rights against potential competitors and other third parties, which would materially adversely affect our business, financial condition, results of operations and prospects.</w:t>
      </w:r>
    </w:p>
    <w:p>
      <w:pPr>
        <w:spacing w:after="0" w:line="179"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need to license intellectual property from third parties, such licenses may not be available or may not be available on commercially reasonable terms and we may not be successful in obtaining or maintaining necessary rights to our drug candidates through acquisitions and in-licenses.</w:t>
      </w:r>
    </w:p>
    <w:p>
      <w:pPr>
        <w:spacing w:after="0" w:line="43"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Because our development programs may in the future require the use of proprietary rights held by third parties, the growth of our business may depend in part on our ability to acquire, in-license, or use these third-party proprietary rights. A license to such intellectual property may not be available or may not be available on commercially reasonable terms, which could have a material adverse effect on our business, financial condition, results of operations and prospects. We may be unable to acquire or in-license any compositions, methods of use, processes or other third-party intellectual property rights from third parties that we identify as necessary for our drug candidates.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The licensing and acquisition of third-party intellectual property rights is a competitive practice, and companies that may be more established, or have greater resources than we do, also may be pursuing strategies to license or acquire third-party intellectual property rights that we may consider necessary or attractive in order to commercialize our drug candidates. More established companies may have a competitive advantage over us due to their larger size and cash resources or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We may not be able to successfully complete such negotiations and ultimately acquire the rights to the intellectual property surrounding the additional drug candidates we may seek to acquire. If we are unable to successfully obtain rights to required third-party intellectual property rights or maintain the existing intellectual property rights we have, we may have to abandon development of the relevant program or drug candidate, which could have a material adverse effect on our business, financial condition, results of operations, and prospects.</w:t>
      </w:r>
    </w:p>
    <w:p>
      <w:pPr>
        <w:spacing w:after="0" w:line="169"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may not identify relevant third-party patents or may incorrectly interpret the relevance, scope or expiration of a third-party patent, and 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61"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Our commercial success depends, in part, upon our ability, and the ability of our collaborators to develop, manufacture, market and sell our drug candidates and future drug candidates and use our proprietary technologies without infringing, misappropriating or otherwise violating the intellectual property and other proprietary rights of third parties.</w:t>
      </w:r>
    </w:p>
    <w:p>
      <w:pPr>
        <w:spacing w:after="0" w:line="56"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 xml:space="preserve">Numerous third-party U.S. and non-U.S. issued patents exist in the area of biotechnology, including in the area of targeted protein degraders and including patents owned or controlled by our competitors. There is considerable and complex intellectual property litigation in the biotechnology and pharmaceutical industries, as well as administrative proceedings for challenging patents, including interference, reexamination and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proceedings before the USPTO and oppositions and other comparable proceedings in foreign jurisdictions. We may in the future become party to, or be threatened with, adversarial proceedings or litigation regarding intellectual property rights with respect to our drug candidates, future drug candidates and technology, including interference, derivation, reexamination or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proceedings before the USPTO. Our competitors or other third parties may assert infringement claims against us based on existing patents or patents that may be granted in the future and claims may also come from competitors or other third parties against whom our own patent portfolio may have no deterrent effect. The outcome of intellectual property litigation is subject to uncertainties that cannot be adequately quantified in advance. Other parties may allege that our drug candidates or the use of our technologies infringe patent claims or other intellectual property rights held by them or that we are employing their proprietary technology without authorization.</w:t>
      </w:r>
    </w:p>
    <w:p>
      <w:pPr>
        <w:spacing w:after="0" w:line="72"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As we continue to develop and, if approved, commercialize our current and future drug candidates, competitors or other third parties may claim that our technology infringes, misappropriates or otherwise violates their intellectual property rights. There are and may in the future be additional U.S. and foreign-issued patents and pending patent applications owned by third parties in the fields in which we are pursuing drug candidates. For example, we are aware of a patent owned by a third party with a claim that covers many potential targeted protein degraders. This patent may be alleged to cover one or more of our targeted protein degrader drug candidates, including our NX-5948 and NX-2127 drug candidates. While we believe that we have valid defenses against any assertion of such patent against us, such defenses may be unsuccessful. If we are unsuccessful and any of our targeted protein degrader drug candidates is found to infringe this patent, we could be required to obtain a license to such patent or forced to permanently cease developing, manufacturing, marketing and commercializing the infringing targeted protein degrader drug candidate. We may not be able to obtain any required license on commercially reasonable terms or at all, and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developing, manufacturing, marketing and commercializing the drug candidate.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w:t>
      </w:r>
    </w:p>
    <w:p>
      <w:pPr>
        <w:spacing w:after="0" w:line="74" w:lineRule="exact"/>
        <w:rPr>
          <w:sz w:val="20"/>
          <w:szCs w:val="20"/>
          <w:color w:val="auto"/>
        </w:rPr>
      </w:pPr>
    </w:p>
    <w:p>
      <w:pPr>
        <w:ind w:right="160" w:firstLine="619"/>
        <w:spacing w:after="0" w:line="250" w:lineRule="auto"/>
        <w:rPr>
          <w:sz w:val="20"/>
          <w:szCs w:val="20"/>
          <w:color w:val="auto"/>
        </w:rPr>
      </w:pPr>
      <w:r>
        <w:rPr>
          <w:rFonts w:ascii="Times New Roman" w:cs="Times New Roman" w:eastAsia="Times New Roman" w:hAnsi="Times New Roman"/>
          <w:sz w:val="17"/>
          <w:szCs w:val="17"/>
          <w:color w:val="auto"/>
        </w:rPr>
        <w:t>Moreover, as the biotechnology and pharmaceutical industries expand and more patents are issued, the risk increases that our drug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or we may incorrectly conclude that a third-party patent is invalid, unenforceable or not infringed by our activities. Because patent applications can take many years to issue, there may be currently pending patent applications that may later result in issued patents that our drug candidates may infringe. In addition, third parties may obtain patents in the future and claim that use of our technologies infringes upon these patents.</w:t>
      </w:r>
    </w:p>
    <w:p>
      <w:pPr>
        <w:spacing w:after="0" w:line="200" w:lineRule="exact"/>
        <w:rPr>
          <w:sz w:val="20"/>
          <w:szCs w:val="20"/>
          <w:color w:val="auto"/>
        </w:rPr>
      </w:pPr>
    </w:p>
    <w:p>
      <w:pPr>
        <w:spacing w:after="0" w:line="34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17"/>
          <w:szCs w:val="17"/>
          <w:color w:val="auto"/>
        </w:rPr>
        <w:t>Patent and other types of the intellectual property litigation can involve complex factual and legal questions, and their outcome is uncertain. If we are found, or believe there is a risk we may be found, by a court of competent jurisdiction to infringe, misappropriate or otherwise violate a third party’s intellectual property rights, we could be required or may choose to obtain a license from such third party to continue developing and marketing our products and technology. In addition, we could be found liable for monetary damages, which could be significant, including treble damages and attorneys’ fees if we are found to have willfully infringed a patent or other intellectual property right. A finding of infringement could prevent us from producing or commercializing our drug candidates or future drug candidates or force us to cease some of our business operations, which could materially harm our business. Alternatively, we may need to redesign our infringing products, which may be impossible or require substantial time and monetary expenditure, including due to any additional or separate regulatory approval to which the redesigned products may be subject by regulatory authorities, and any redesigned products may be of inferior quality or performance. If we lose a foreign patent lawsuit alleging our infringement of a competitor’s patents, we could be prevented from marketing our therapeutics in one or more foreign countries and/or be required to pay monetary damages for infringement or royalties in order to continue marketing. Claims that we have misappropriated the confidential information, trade secrets or other intellectual property of third parties could have a similar negative impact on our business. Any of these outcomes would have a material adverse effect on our business.</w:t>
      </w:r>
    </w:p>
    <w:p>
      <w:pPr>
        <w:spacing w:after="0" w:line="71"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Further, we do not know which processes we will use for commercial manufacture of our future products, or which technologies owned or controlled by third parties may prove important or essential to those processes. Many companies have filed, and continue to file, patent applications related to novel protein modulation therapies that target disease-causing proteins and many companies have filed and continue to file patent applications related to ACT. Some of these patent applications have already been allowed or issued and others may issue in the future. Because this area is competitive and of strong interest to pharmaceutical and biotechnology companies, there likely will be additional patent applications filed and additional patents granted in the future, as well as additional research and development programs expected in the future. If a patent holder believes the manufacture, use, sale, offer for sale or importation of one of our drug candidates or future products infringes its patent, the patent holder may sue us even if we have licensed other patent protection for our technology. Moreover, we may face patent infringement claims from non-practicing entities that have no relevant product revenue and against whom our licensed patent portfolio may therefore have no deterrent effect.</w:t>
      </w:r>
    </w:p>
    <w:p>
      <w:pPr>
        <w:spacing w:after="0" w:line="72" w:lineRule="exact"/>
        <w:rPr>
          <w:sz w:val="20"/>
          <w:szCs w:val="20"/>
          <w:color w:val="auto"/>
        </w:rPr>
      </w:pPr>
    </w:p>
    <w:p>
      <w:pPr>
        <w:ind w:right="240" w:firstLine="619"/>
        <w:spacing w:after="0" w:line="249" w:lineRule="auto"/>
        <w:rPr>
          <w:sz w:val="20"/>
          <w:szCs w:val="20"/>
          <w:color w:val="auto"/>
        </w:rPr>
      </w:pPr>
      <w:r>
        <w:rPr>
          <w:rFonts w:ascii="Times New Roman" w:cs="Times New Roman" w:eastAsia="Times New Roman" w:hAnsi="Times New Roman"/>
          <w:sz w:val="17"/>
          <w:szCs w:val="17"/>
          <w:color w:val="auto"/>
        </w:rPr>
        <w:t>It is also possible that we have failed to identify all relevant third-party patents or applications.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For example, we may incorrectly determine that our drug candidates are not covered by a third-party patent or may incorrectly predict whether a third-party’s pending application will issue with claims of relevant scope.</w:t>
      </w:r>
    </w:p>
    <w:p>
      <w:pPr>
        <w:spacing w:after="0" w:line="82" w:lineRule="exact"/>
        <w:rPr>
          <w:sz w:val="20"/>
          <w:szCs w:val="20"/>
          <w:color w:val="auto"/>
        </w:rPr>
      </w:pPr>
    </w:p>
    <w:p>
      <w:pPr>
        <w:ind w:right="160" w:firstLine="619"/>
        <w:spacing w:after="0" w:line="249" w:lineRule="auto"/>
        <w:rPr>
          <w:sz w:val="20"/>
          <w:szCs w:val="20"/>
          <w:color w:val="auto"/>
        </w:rPr>
      </w:pPr>
      <w:r>
        <w:rPr>
          <w:rFonts w:ascii="Times New Roman" w:cs="Times New Roman" w:eastAsia="Times New Roman" w:hAnsi="Times New Roman"/>
          <w:sz w:val="17"/>
          <w:szCs w:val="17"/>
          <w:color w:val="auto"/>
        </w:rPr>
        <w:t>In addition, we may be unaware of one or more issued patents that would be infringed by the manufacture, sale, importation or use of a current or future drug candidate, or we may incorrectly conclude that a third-party patent is invalid, unenforceable or not infringed by our activities.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therapeutics. We do not always conduct independent reviews of pending patent applications of and patents issued to third parties.</w:t>
      </w:r>
    </w:p>
    <w:p>
      <w:pPr>
        <w:spacing w:after="0" w:line="69"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color w:val="auto"/>
        </w:rPr>
        <w:t>Furthermore, because patent applications can take many years to issue, may be confidential for 18 months or more after filing and can be revised before issuance, there may be applications now pending that we are not aware of that may later result in issued patents that may be infringed by the manufacture, use, sale or importation of our drug candidates or future products. Additionally, pending patent applications that have been published can, subject to certain limitations, later be amended in a manner that could cover our technologies, our future products or the manufacture or use of our future products. As such, there may be applications of others now pending or recently revived patents of which we are unaware. These patent applications may later result in issued patents, or the revival of previously abandoned patents, that will prevent, limit or otherwise interfere with our ability to make, use or sell our products.</w:t>
      </w:r>
    </w:p>
    <w:p>
      <w:pPr>
        <w:spacing w:after="0" w:line="67" w:lineRule="exact"/>
        <w:rPr>
          <w:sz w:val="20"/>
          <w:szCs w:val="20"/>
          <w:color w:val="auto"/>
        </w:rPr>
      </w:pPr>
    </w:p>
    <w:p>
      <w:pPr>
        <w:ind w:right="40" w:firstLine="619"/>
        <w:spacing w:after="0" w:line="250" w:lineRule="auto"/>
        <w:rPr>
          <w:sz w:val="20"/>
          <w:szCs w:val="20"/>
          <w:color w:val="auto"/>
        </w:rPr>
      </w:pPr>
      <w:r>
        <w:rPr>
          <w:rFonts w:ascii="Times New Roman" w:cs="Times New Roman" w:eastAsia="Times New Roman" w:hAnsi="Times New Roman"/>
          <w:sz w:val="17"/>
          <w:szCs w:val="17"/>
          <w:color w:val="auto"/>
        </w:rPr>
        <w:t>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drug candidates or future drug candidates or manufacture or methods of use, we would need to overcome a statutory presumption of validity that attaches to every U.S. patent. This burden is a high one and in order to prevail, we would have to present clear and convincing evidence as to the invalidity of the patent’s claims. Even if we believe third-party intellectual property claims are without merit, there is no assurance that a court would find in our favor on questions of infringement, validity or enforceability by invalidating the claims of any such U.S. patent or finding that our drug candidates or technology did not infringe any such claims.</w:t>
      </w:r>
    </w:p>
    <w:p>
      <w:pPr>
        <w:spacing w:after="0" w:line="200" w:lineRule="exact"/>
        <w:rPr>
          <w:sz w:val="20"/>
          <w:szCs w:val="20"/>
          <w:color w:val="auto"/>
        </w:rPr>
      </w:pPr>
    </w:p>
    <w:p>
      <w:pPr>
        <w:spacing w:after="0" w:line="34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 xml:space="preserve">We may choose to challenge the enforceability or validity of claims in a third party’s U.S. patent by requesting that the USPTO review the patent claims in an ex-parte re-exam,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or post-grant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drug candidates or proprietary technologies.</w:t>
      </w:r>
    </w:p>
    <w:p>
      <w:pPr>
        <w:spacing w:after="0" w:line="82"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Even if resolved in our favor, litigation or other legal proceedings relating to intellectual property claims may be time-consuming, cause us to incur significant expenses and could distract our technical and management personnel from their normal responsibilities and ongoing business operations. If we are unable to avoid infringing the patent rights of others, we may be required to seek a license, defend an infringement action or challenge the validity of the patents in court, or redesign our future products or processes.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Unlike some of our larger competitors and other third parties, we may not have sufficient financial or other resources to conduct such litigation or proceedings adequately. Furthermore, because of the substantial amount of discovery required in connection with intellectual property litigation or administrative proceedings, there is a risk that some of our confidential information could be compromised by disclosure. Uncertainties resulting from the litigation of patent litigation and other proceedings could delay our research and development efforts, adversely affect our ability to raise additional funds and could limit our ability to continue our operations. Any of the foregoing could have a material adverse effect on our business.</w:t>
      </w:r>
    </w:p>
    <w:p>
      <w:pPr>
        <w:spacing w:after="0" w:line="171"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by third parties asserting that we or our employees, consultants, contractors or advisors have misappropriated, wrongfully used or disclosed alleged trade secrets or other intellectual property, or claiming ownership of what we regard as our own intellectual property.</w:t>
      </w:r>
    </w:p>
    <w:p>
      <w:pPr>
        <w:spacing w:after="0" w:line="43"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We may hire and employ individuals who were previously employed at, or may have previously provided or may be currently providing consulting services to,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consultants and advisors do not improperly use the proprietary information or know-how of others in their work for us, we may be subject to claims that these individuals or we have inadvertently or otherwise improperly used or disclosed intellectual property, including trade secrets or other proprietary information, of any such individual’s former employer. We also may in the future be subject to claims that we have caused such individual to breach the terms of his or her non-competition or non-solicitation agreement or from former employers or other third parties claiming to have an ownership interest in our patents or other intellectual property.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drug candidates, which would have a material adverse effect on our business, results of operations, financial condition and prospects. Even if we are successful, litigation could result in substantial cost and reputational loss and distract our management and other employees from their regular responsibilities.</w:t>
      </w:r>
    </w:p>
    <w:p>
      <w:pPr>
        <w:spacing w:after="0" w:line="200" w:lineRule="exact"/>
        <w:rPr>
          <w:sz w:val="20"/>
          <w:szCs w:val="20"/>
          <w:color w:val="auto"/>
        </w:rPr>
      </w:pPr>
    </w:p>
    <w:p>
      <w:pPr>
        <w:spacing w:after="0" w:line="35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In addition, although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Moreover, even when we obtain agreements assigning intellectual property to us, such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In addition, we or our licensors may in the future be subject to claims by former employees, consultants or other third parties asserting an ownership right in our owned or licensed patents or patent applications. An adverse determination in any such litigation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drug candidates. Such challenges may also result in our inability to develop, manufacture or commercialize our drug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drug candidates. Any of the foregoing could have a material adverse effect on our business, financial condition, results of operations and prospects.</w:t>
      </w:r>
    </w:p>
    <w:p>
      <w:pPr>
        <w:spacing w:after="0" w:line="190"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43"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17"/>
          <w:szCs w:val="17"/>
          <w:color w:val="auto"/>
        </w:rPr>
        <w:t xml:space="preserve">Competitors or other third parties may infringe our patents, the patents of our licensors or other intellectual property. To counter infringement or unauthorized use, we may be required to file infringement claims, which, regardless of merit, can be expensive, time-consuming, unpredictable and divert the time and attention of our management and scientific personnel. Any claims we assert against perceived infringers could provoke those parties to assert counterclaims against us alleging that we infringe their patents or other intellectual property.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interference proceedings, derivation proceedings and equivalent proceedings in foreign jurisdictions. Such proceedings could result in the revocation or cancellation of or amendment to our patents in such a way that they no longer cover our drug candidates or prevent third parties from competing with our drug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In any patent infringement proceeding, there is a risk that a court will decide that a patent of ours is invalid or unenforceable, in whole or in part. If a third party were to prevail on a legal assertion of invalidity or unenforceability, we could lose at least part, and perhaps all, of the patent protection on our drug candidates.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future patented technology falls under the safe harbor to patent infringement under 35 U.S.C. §271(e)(1). An adverse result in any litigation or proceeding involving our patents or patent applications may put one or more of our patents at risk of being invalidated, held unenforceable or interpreted narrowly.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200" w:lineRule="exact"/>
        <w:rPr>
          <w:sz w:val="20"/>
          <w:szCs w:val="20"/>
          <w:color w:val="auto"/>
        </w:rPr>
      </w:pPr>
    </w:p>
    <w:p>
      <w:pPr>
        <w:spacing w:after="0" w:line="35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Even if we successfully assert our patents or other intellectual property rights, a court may not award remedies that sufficiently compensate us for our losses. For example,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 impact of public announcements of the results of hearings related to such awards on the price of our common stock may be uncertain. If securities analysts or investors perceive such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or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In addition, the uncertainties associated with litigation could compromise our ability to raise the funds necessary to continue our clinical trials, continue our internal research programs, in-license needed technology or other drug candidates, or enter into development partnerships that would help us bring our drug candidates to market.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business, financial condition, results of operations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pursue or guarantee protection of our intellectual property rights in jurisdictions outside the United States.</w:t>
      </w:r>
    </w:p>
    <w:p>
      <w:pPr>
        <w:spacing w:after="0" w:line="120"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Patents are of national or regional effect. Filing, prosecuting and defending patents on drug candidates, research programs and technology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and drug candidates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 Competitors or other third parties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drug candidates and our patents or other intellectual property rights may not be effective or sufficient to prevent them from competing.</w:t>
      </w:r>
    </w:p>
    <w:p>
      <w:pPr>
        <w:spacing w:after="0" w:line="72"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systems of certain countries, particularly certain developing countries, may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66" w:lineRule="exact"/>
        <w:rPr>
          <w:sz w:val="20"/>
          <w:szCs w:val="20"/>
          <w:color w:val="auto"/>
        </w:rPr>
      </w:pPr>
    </w:p>
    <w:p>
      <w:pPr>
        <w:ind w:right="100" w:firstLine="619"/>
        <w:spacing w:after="0" w:line="247" w:lineRule="auto"/>
        <w:rPr>
          <w:sz w:val="20"/>
          <w:szCs w:val="20"/>
          <w:color w:val="auto"/>
        </w:rPr>
      </w:pPr>
      <w:r>
        <w:rPr>
          <w:rFonts w:ascii="Times New Roman" w:cs="Times New Roman" w:eastAsia="Times New Roman" w:hAnsi="Times New Roman"/>
          <w:sz w:val="17"/>
          <w:szCs w:val="17"/>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 Accordingly, our efforts to enforce our intellectual property rights around the world may be inadequate to obtain a significant commercial advantage from the intellectual property that we develop or license.</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17"/>
          <w:szCs w:val="17"/>
          <w:color w:val="auto"/>
        </w:rPr>
        <w:t>In Europe, beginning June 1, 2023, European applications and patents may be subject to the jurisdiction of the Unified Patent Court (UPC). Also, European applications will have the option, upon grant of a patent, of becoming a Unitary Patent which will be subject to the jurisdiction of the UPC. This will be a significant change in European patent practice. As the UPC is a new court system, there is no precedent for the court, increasing the uncertainty of any litigation. As a single court system can invalidate a European patent, we, where applicable, may opt out of the UPC, and as such, each European patent would need to be challenged in each individual country.</w:t>
      </w:r>
    </w:p>
    <w:p>
      <w:pPr>
        <w:spacing w:after="0" w:line="179"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43"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Periodic maintenance, renewal and annuity fees and various other government fees on any issued patent and/or patent application are due to be paid to the USPTO and patent offices in foreign countries in several stages over the lifetime of the patent and/or patent application. The USPTO and patent offices in various foreign countries require compliance with a number of procedural, documentary, fee payment and other similar requirements during the patent application process and throughout the life of a granted patent.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or other third parties might be able to enter the market, which could have a material adverse effect on our business and competitive position.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become subject to claims challenging the inventorship or ownership of our patents and other intellectual property.</w:t>
      </w:r>
    </w:p>
    <w:p>
      <w:pPr>
        <w:spacing w:after="0" w:line="120"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drug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86"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protect the confidentiality of our trade secrets, our business and competitive position would be harmed.</w:t>
      </w:r>
    </w:p>
    <w:p>
      <w:pPr>
        <w:spacing w:after="0" w:line="120" w:lineRule="exact"/>
        <w:rPr>
          <w:sz w:val="20"/>
          <w:szCs w:val="20"/>
          <w:color w:val="auto"/>
        </w:rPr>
      </w:pPr>
    </w:p>
    <w:p>
      <w:pPr>
        <w:ind w:firstLine="619"/>
        <w:spacing w:after="0" w:line="253" w:lineRule="auto"/>
        <w:rPr>
          <w:sz w:val="20"/>
          <w:szCs w:val="20"/>
          <w:color w:val="auto"/>
        </w:rPr>
      </w:pPr>
      <w:r>
        <w:rPr>
          <w:rFonts w:ascii="Times New Roman" w:cs="Times New Roman" w:eastAsia="Times New Roman" w:hAnsi="Times New Roman"/>
          <w:sz w:val="17"/>
          <w:szCs w:val="17"/>
          <w:color w:val="auto"/>
        </w:rPr>
        <w:t>In addition to seeking patents for some of our technology and drug candidates, we also rely on trade secrets, including unpatented know-how, technology and other proprietary information, and confidentiality agreements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w:t>
      </w:r>
    </w:p>
    <w:p>
      <w:pPr>
        <w:spacing w:after="0" w:line="200" w:lineRule="exact"/>
        <w:rPr>
          <w:sz w:val="20"/>
          <w:szCs w:val="20"/>
          <w:color w:val="auto"/>
        </w:rPr>
      </w:pPr>
    </w:p>
    <w:p>
      <w:pPr>
        <w:spacing w:after="0" w:line="34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Trade secrets can be difficult to protect. We seek to protect our trade secrets, proprietary technology and processes,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 We cannot guarantee that we have entered into such agreements with each party that may have or had access to our trade secrets or proprietary technology and processes and even in cases we have, we cannot be certain that our trade secrets and other confidential proprietary information will not be disclosed or used in an unauthorized manner by third parties. Monitoring unauthorized uses and disclosures of our intellectual property is difficult, and we do not know whether the steps we have taken to protect our intellectual property will be effective. Furthermore,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expensive, time-consuming and difficult to prove and the outcome is unpredictable. In addition, some courts inside and outside of the United States may be less willing or unwilling to protect trade secrets. As a result, we could lose our trade secrets and third parties could use our trade secrets to compete with our drug candidates and technology.</w:t>
      </w:r>
    </w:p>
    <w:p>
      <w:pPr>
        <w:spacing w:after="0" w:line="74" w:lineRule="exact"/>
        <w:rPr>
          <w:sz w:val="20"/>
          <w:szCs w:val="20"/>
          <w:color w:val="auto"/>
        </w:rPr>
      </w:pPr>
    </w:p>
    <w:p>
      <w:pPr>
        <w:ind w:right="80" w:firstLine="619"/>
        <w:spacing w:after="0" w:line="254" w:lineRule="auto"/>
        <w:rPr>
          <w:sz w:val="20"/>
          <w:szCs w:val="20"/>
          <w:color w:val="auto"/>
        </w:rPr>
      </w:pPr>
      <w:r>
        <w:rPr>
          <w:rFonts w:ascii="Times New Roman" w:cs="Times New Roman" w:eastAsia="Times New Roman" w:hAnsi="Times New Roman"/>
          <w:sz w:val="17"/>
          <w:szCs w:val="17"/>
          <w:color w:val="auto"/>
        </w:rPr>
        <w:t>Moreover, our competitors or other third parties may independently develop knowledge, methods and know-how equivalent to our trade secrets. If any of our trade secrets were to be lawfully obtained or independently developed by a competitor or other third parties, we would have no right to prevent them, or those to whom they communicate it, from using that technology or information to compete with us. If any of our trade secrets were to be disclosed to or independently developed by a competitor or other third parties, our competitive position would be harmed.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rights do not necessarily address all potential threats.</w:t>
      </w:r>
    </w:p>
    <w:p>
      <w:pPr>
        <w:spacing w:after="0" w:line="120" w:lineRule="exact"/>
        <w:rPr>
          <w:sz w:val="20"/>
          <w:szCs w:val="20"/>
          <w:color w:val="auto"/>
        </w:rPr>
      </w:pPr>
    </w:p>
    <w:p>
      <w:pPr>
        <w:ind w:right="160" w:firstLine="619"/>
        <w:spacing w:after="0" w:line="271" w:lineRule="auto"/>
        <w:rPr>
          <w:sz w:val="20"/>
          <w:szCs w:val="20"/>
          <w:color w:val="auto"/>
        </w:rPr>
      </w:pPr>
      <w:r>
        <w:rPr>
          <w:rFonts w:ascii="Times New Roman" w:cs="Times New Roman" w:eastAsia="Times New Roman" w:hAnsi="Times New Roman"/>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48" w:lineRule="exact"/>
        <w:rPr>
          <w:sz w:val="20"/>
          <w:szCs w:val="20"/>
          <w:color w:val="auto"/>
        </w:rPr>
      </w:pPr>
    </w:p>
    <w:p>
      <w:pPr>
        <w:ind w:left="940" w:right="100" w:hanging="318"/>
        <w:spacing w:after="0" w:line="262"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be able to make products that are similar to any drug candidates we may develop or utilize similar technology but that are not covered by the claims of the patents that we own or license now or in the future, or may develop drug candidates for the diseases our drug candidates seek to treat that do not infringe on our intellectual property rights, but which perform better or are more successful than our drug candidates;</w:t>
      </w:r>
    </w:p>
    <w:p>
      <w:pPr>
        <w:spacing w:after="0" w:line="55" w:lineRule="exact"/>
        <w:rPr>
          <w:rFonts w:ascii="Times New Roman" w:cs="Times New Roman" w:eastAsia="Times New Roman" w:hAnsi="Times New Roman"/>
          <w:sz w:val="17"/>
          <w:szCs w:val="17"/>
          <w:color w:val="auto"/>
        </w:rPr>
      </w:pPr>
    </w:p>
    <w:p>
      <w:pPr>
        <w:ind w:left="940" w:right="320" w:hanging="318"/>
        <w:spacing w:after="0" w:line="287"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drug candidates utilizing issued patents and other intellectual property that we hold may prove to be ineffective for their intended treatment or we may not obtain regulatory approval for such drug candidates;</w:t>
      </w:r>
    </w:p>
    <w:p>
      <w:pPr>
        <w:spacing w:after="0" w:line="35" w:lineRule="exact"/>
        <w:rPr>
          <w:rFonts w:ascii="Times New Roman" w:cs="Times New Roman" w:eastAsia="Times New Roman" w:hAnsi="Times New Roman"/>
          <w:sz w:val="17"/>
          <w:szCs w:val="17"/>
          <w:color w:val="auto"/>
        </w:rPr>
      </w:pPr>
    </w:p>
    <w:p>
      <w:pPr>
        <w:ind w:left="940" w:right="360" w:hanging="318"/>
        <w:spacing w:after="0" w:line="271"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current or future license partners or collaborators, might not have been the first to make the inventions covered by the issued patent or pending patent application that we own or license now or in the future;</w:t>
      </w:r>
    </w:p>
    <w:p>
      <w:pPr>
        <w:spacing w:after="0" w:line="61" w:lineRule="exact"/>
        <w:rPr>
          <w:rFonts w:ascii="Times New Roman" w:cs="Times New Roman" w:eastAsia="Times New Roman" w:hAnsi="Times New Roman"/>
          <w:sz w:val="17"/>
          <w:szCs w:val="17"/>
          <w:color w:val="auto"/>
        </w:rPr>
      </w:pPr>
    </w:p>
    <w:p>
      <w:pPr>
        <w:ind w:left="940" w:right="200" w:hanging="318"/>
        <w:spacing w:after="0" w:line="271"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current or future license partners or collaborators, might not have been the first to file patent applications covering certain of our or their inventions;</w:t>
      </w:r>
    </w:p>
    <w:p>
      <w:pPr>
        <w:spacing w:after="0" w:line="48" w:lineRule="exact"/>
        <w:rPr>
          <w:rFonts w:ascii="Times New Roman" w:cs="Times New Roman" w:eastAsia="Times New Roman" w:hAnsi="Times New Roman"/>
          <w:sz w:val="17"/>
          <w:szCs w:val="17"/>
          <w:color w:val="auto"/>
        </w:rPr>
      </w:pPr>
    </w:p>
    <w:p>
      <w:pPr>
        <w:ind w:left="940" w:right="180" w:hanging="318"/>
        <w:spacing w:after="0" w:line="287"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independently develop similar or alternative technologies or duplicate any of our technologies without infringing our owned or licensed intellectual property rights;</w:t>
      </w:r>
    </w:p>
    <w:p>
      <w:pPr>
        <w:spacing w:after="0" w:line="3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possible that our pending owned patent applications or those that we may own or license in the future will not lead to issued patents;</w:t>
      </w:r>
    </w:p>
    <w:p>
      <w:pPr>
        <w:spacing w:after="0" w:line="101" w:lineRule="exact"/>
        <w:rPr>
          <w:rFonts w:ascii="Times New Roman" w:cs="Times New Roman" w:eastAsia="Times New Roman" w:hAnsi="Times New Roman"/>
          <w:sz w:val="17"/>
          <w:szCs w:val="17"/>
          <w:color w:val="auto"/>
        </w:rPr>
      </w:pPr>
    </w:p>
    <w:p>
      <w:pPr>
        <w:ind w:left="940" w:right="280" w:hanging="318"/>
        <w:spacing w:after="0" w:line="287"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cannot predict the scope of protection of any patent issuing based on our patent applications, including whether the patent applications that we own will result in issued patents with claims directed to our drug candidates or uses thereof in the United States or in other foreign countries;</w:t>
      </w:r>
    </w:p>
    <w:p>
      <w:pPr>
        <w:spacing w:after="0" w:line="35" w:lineRule="exact"/>
        <w:rPr>
          <w:rFonts w:ascii="Times New Roman" w:cs="Times New Roman" w:eastAsia="Times New Roman" w:hAnsi="Times New Roman"/>
          <w:sz w:val="17"/>
          <w:szCs w:val="17"/>
          <w:color w:val="auto"/>
        </w:rPr>
      </w:pPr>
    </w:p>
    <w:p>
      <w:pPr>
        <w:ind w:left="940" w:right="260" w:hanging="318"/>
        <w:spacing w:after="0" w:line="271"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claims of any current patents or patent issuing based on patent applications that we own may not provide protection against competitors or any competitive advantages or may be challenged by third parties;</w:t>
      </w:r>
    </w:p>
    <w:p>
      <w:pPr>
        <w:spacing w:after="0" w:line="48" w:lineRule="exact"/>
        <w:rPr>
          <w:rFonts w:ascii="Times New Roman" w:cs="Times New Roman" w:eastAsia="Times New Roman" w:hAnsi="Times New Roman"/>
          <w:sz w:val="17"/>
          <w:szCs w:val="17"/>
          <w:color w:val="auto"/>
        </w:rPr>
      </w:pPr>
    </w:p>
    <w:p>
      <w:pPr>
        <w:ind w:left="940" w:right="740" w:hanging="318"/>
        <w:spacing w:after="0" w:line="287"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issued patents that we may hold rights to in the future may be held invalid or unenforceable, including as a result of legal challenges by our competitors;</w:t>
      </w:r>
    </w:p>
    <w:p>
      <w:pPr>
        <w:spacing w:after="0" w:line="35" w:lineRule="exact"/>
        <w:rPr>
          <w:rFonts w:ascii="Times New Roman" w:cs="Times New Roman" w:eastAsia="Times New Roman" w:hAnsi="Times New Roman"/>
          <w:sz w:val="17"/>
          <w:szCs w:val="17"/>
          <w:color w:val="auto"/>
        </w:rPr>
      </w:pPr>
    </w:p>
    <w:p>
      <w:pPr>
        <w:ind w:left="940" w:right="400" w:hanging="318"/>
        <w:spacing w:after="0" w:line="271"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develop additional proprietary technologies that are patentable;</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220" w:hanging="318"/>
        <w:spacing w:after="0" w:line="271"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61" w:lineRule="exact"/>
        <w:rPr>
          <w:rFonts w:ascii="Times New Roman" w:cs="Times New Roman" w:eastAsia="Times New Roman" w:hAnsi="Times New Roman"/>
          <w:sz w:val="17"/>
          <w:szCs w:val="17"/>
          <w:color w:val="auto"/>
        </w:rPr>
      </w:pPr>
    </w:p>
    <w:p>
      <w:pPr>
        <w:ind w:left="940" w:right="800" w:hanging="318"/>
        <w:spacing w:after="0" w:line="271"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countries other than the United States may have patent laws less favorable to patentees than those upheld by U.S. courts, allowing foreign competitors a better opportunity to create, develop and market competing drug candidates;</w:t>
      </w:r>
    </w:p>
    <w:p>
      <w:pPr>
        <w:spacing w:after="0" w:line="48" w:lineRule="exact"/>
        <w:rPr>
          <w:rFonts w:ascii="Times New Roman" w:cs="Times New Roman" w:eastAsia="Times New Roman" w:hAnsi="Times New Roman"/>
          <w:sz w:val="17"/>
          <w:szCs w:val="17"/>
          <w:color w:val="auto"/>
        </w:rPr>
      </w:pPr>
    </w:p>
    <w:p>
      <w:pPr>
        <w:ind w:left="940" w:right="260" w:hanging="318"/>
        <w:spacing w:after="0" w:line="287"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to initiate litigation or administrative proceedings to enforce and/or defend our patent rights which will be costly whether we win or lose;</w:t>
      </w:r>
    </w:p>
    <w:p>
      <w:pPr>
        <w:spacing w:after="0" w:line="3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enforce and/or defend our patent rights, a court may not hold that our patents are valid, enforceable and infringed;</w:t>
      </w:r>
    </w:p>
    <w:p>
      <w:pPr>
        <w:spacing w:after="0" w:line="101"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choose not to file a patent application in order to maintain certain trade secrets or know-how, and a third party may subsequently file a patent application covering such intellectual property;</w:t>
      </w:r>
    </w:p>
    <w:p>
      <w:pPr>
        <w:spacing w:after="0" w:line="3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adequately protect and police our trademarks and trade secrets; and</w:t>
      </w:r>
    </w:p>
    <w:p>
      <w:pPr>
        <w:spacing w:after="0" w:line="101" w:lineRule="exact"/>
        <w:rPr>
          <w:rFonts w:ascii="Times New Roman" w:cs="Times New Roman" w:eastAsia="Times New Roman" w:hAnsi="Times New Roman"/>
          <w:sz w:val="17"/>
          <w:szCs w:val="17"/>
          <w:color w:val="auto"/>
        </w:rPr>
      </w:pPr>
    </w:p>
    <w:p>
      <w:pPr>
        <w:ind w:left="940" w:right="180" w:hanging="318"/>
        <w:spacing w:after="0" w:line="287" w:lineRule="auto"/>
        <w:tabs>
          <w:tab w:leader="none" w:pos="978"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patents of others may have an adverse effect on our business, including if others obtain patents claiming subject matter similar to or improving subject matter that is covered by our patent applications.</w:t>
      </w:r>
    </w:p>
    <w:p>
      <w:pPr>
        <w:spacing w:after="0" w:line="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Should any of these events occur, they could have a material adverse effect on our business, financial condition, results of operations and prospects.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Regulatory Approval and Marketing of Our Drug Candidates</w:t>
      </w:r>
    </w:p>
    <w:p>
      <w:pPr>
        <w:spacing w:after="0" w:line="112"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 of the FDA and other national or European regulators is lengthy, time-consuming and inherently unpredictable, and if we are ultimately unable to obtain marketing approval for our drug candidates, our business will be substantially harmed.</w:t>
      </w:r>
    </w:p>
    <w:p>
      <w:pPr>
        <w:spacing w:after="0" w:line="43" w:lineRule="exact"/>
        <w:rPr>
          <w:sz w:val="20"/>
          <w:szCs w:val="20"/>
          <w:color w:val="auto"/>
        </w:rPr>
      </w:pPr>
    </w:p>
    <w:p>
      <w:pPr>
        <w:ind w:firstLine="619"/>
        <w:spacing w:after="0" w:line="253" w:lineRule="auto"/>
        <w:rPr>
          <w:sz w:val="20"/>
          <w:szCs w:val="20"/>
          <w:color w:val="auto"/>
        </w:rPr>
      </w:pPr>
      <w:r>
        <w:rPr>
          <w:rFonts w:ascii="Times New Roman" w:cs="Times New Roman" w:eastAsia="Times New Roman" w:hAnsi="Times New Roman"/>
          <w:sz w:val="17"/>
          <w:szCs w:val="17"/>
          <w:color w:val="auto"/>
        </w:rPr>
        <w:t>The time required to obtain approval by the FDA and other national or European regulators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among jurisdictions. We have not obtained marketing approval for any drug candidate, and it is possible that none of our existing drug candidates, or any drug candidates we may seek to develop in the future, will ever obtain marketing approval.</w:t>
      </w:r>
    </w:p>
    <w:p>
      <w:pPr>
        <w:spacing w:after="0" w:line="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drug candidates could be delayed or fail to receive marketing approval for many reasons, including the following:</w:t>
      </w:r>
    </w:p>
    <w:p>
      <w:pPr>
        <w:spacing w:after="0" w:line="101" w:lineRule="exact"/>
        <w:rPr>
          <w:sz w:val="20"/>
          <w:szCs w:val="20"/>
          <w:color w:val="auto"/>
        </w:rPr>
      </w:pP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may disagree with our interpretation of data from preclinical studies or clinical trials;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may disagree with the design or implementation of our planned clinical trials;</w:t>
      </w:r>
    </w:p>
    <w:p>
      <w:pPr>
        <w:spacing w:after="0" w:line="101" w:lineRule="exact"/>
        <w:rPr>
          <w:rFonts w:ascii="Times New Roman" w:cs="Times New Roman" w:eastAsia="Times New Roman" w:hAnsi="Times New Roman"/>
          <w:sz w:val="17"/>
          <w:szCs w:val="17"/>
          <w:color w:val="auto"/>
        </w:rPr>
      </w:pPr>
    </w:p>
    <w:p>
      <w:pPr>
        <w:ind w:left="940" w:right="40" w:hanging="318"/>
        <w:spacing w:after="0" w:line="271" w:lineRule="auto"/>
        <w:tabs>
          <w:tab w:leader="none" w:pos="9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collected from clinical trials of our drug candidates may not be sufficient to support the submission of an NDA to the FDA or other submissions necessary to obtain marketing approval in the United States;</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demonstrate to the satisfaction of the FDA that a drug candidate is safe and effective for its proposed indication;</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clinical trials may not meet the level of statistical significance required by the FDA for approval;</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demonstrate that our drug candidates’ clinical and other benefits outweigh their safety risks;</w:t>
      </w:r>
    </w:p>
    <w:p>
      <w:pPr>
        <w:spacing w:after="0" w:line="113" w:lineRule="exact"/>
        <w:rPr>
          <w:rFonts w:ascii="Times New Roman" w:cs="Times New Roman" w:eastAsia="Times New Roman" w:hAnsi="Times New Roman"/>
          <w:sz w:val="17"/>
          <w:szCs w:val="17"/>
          <w:color w:val="auto"/>
        </w:rPr>
      </w:pPr>
    </w:p>
    <w:p>
      <w:pPr>
        <w:ind w:left="940" w:right="120" w:hanging="318"/>
        <w:spacing w:after="0" w:line="271" w:lineRule="auto"/>
        <w:tabs>
          <w:tab w:leader="none" w:pos="9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may find deficiencies with or fail to approve the manufacturing processes or facilities of third-party manufacturers with which we contract for clinical and commercial supplies; and</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policies or regulations of the FDA may significantly change in a manner rendering our clinical data insufficient for approval.</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firstLine="619"/>
        <w:spacing w:after="0" w:line="254" w:lineRule="auto"/>
        <w:rPr>
          <w:sz w:val="20"/>
          <w:szCs w:val="20"/>
          <w:color w:val="auto"/>
        </w:rPr>
      </w:pPr>
      <w:r>
        <w:rPr>
          <w:rFonts w:ascii="Times New Roman" w:cs="Times New Roman" w:eastAsia="Times New Roman" w:hAnsi="Times New Roman"/>
          <w:sz w:val="17"/>
          <w:szCs w:val="17"/>
          <w:color w:val="auto"/>
        </w:rPr>
        <w:t>This lengthy approval process, as well as the unpredictability of future clinical trial results, may result in our failing to obtain regulatory approval to market any of our drug candidates, which would significantly harm our business, results of operations, financial condition and prospects. The FDA has substantial discretion in the approval process, and in determining when or whether regulatory approval will be obtained for any of our drug candidates. Even if we believe the data collected from clinical trials of our drug candidates are promising, such data may not be sufficient to support approval by the FDA.</w:t>
      </w:r>
    </w:p>
    <w:p>
      <w:pPr>
        <w:spacing w:after="0" w:line="62" w:lineRule="exact"/>
        <w:rPr>
          <w:sz w:val="20"/>
          <w:szCs w:val="20"/>
          <w:color w:val="auto"/>
        </w:rPr>
      </w:pPr>
    </w:p>
    <w:p>
      <w:pPr>
        <w:ind w:right="100" w:firstLine="619"/>
        <w:spacing w:after="0" w:line="250" w:lineRule="auto"/>
        <w:rPr>
          <w:sz w:val="20"/>
          <w:szCs w:val="20"/>
          <w:color w:val="auto"/>
        </w:rPr>
      </w:pPr>
      <w:r>
        <w:rPr>
          <w:rFonts w:ascii="Times New Roman" w:cs="Times New Roman" w:eastAsia="Times New Roman" w:hAnsi="Times New Roman"/>
          <w:sz w:val="17"/>
          <w:szCs w:val="17"/>
          <w:color w:val="auto"/>
        </w:rPr>
        <w:t>In addition, even if we were to obtain approval, regulatory authorities may approve any of our drug candidates for fewer or more limited indications than we request, or they may impose significant limitations in the form of narrow indications, warnings or a risk evaluation and mitigation strategy (REMS). In addition, regulatory authorities may not approve the price we intend to charge for our products, may require precautions or contra-indications with respect to conditions of use,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65"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have received Fast Track designation for NX-5948 and may seek Fast Track designation for other drug candidates in the future. Fast Track designation may not lead to faster development or regulatory review or approval process, and it does not increase the likelihood that our drug candidates will receive marketing approval.</w:t>
      </w:r>
    </w:p>
    <w:p>
      <w:pPr>
        <w:spacing w:after="0" w:line="61" w:lineRule="exact"/>
        <w:rPr>
          <w:sz w:val="20"/>
          <w:szCs w:val="20"/>
          <w:color w:val="auto"/>
        </w:rPr>
      </w:pPr>
    </w:p>
    <w:p>
      <w:pPr>
        <w:ind w:right="140" w:firstLine="619"/>
        <w:spacing w:after="0" w:line="249" w:lineRule="auto"/>
        <w:rPr>
          <w:sz w:val="20"/>
          <w:szCs w:val="20"/>
          <w:color w:val="auto"/>
        </w:rPr>
      </w:pPr>
      <w:r>
        <w:rPr>
          <w:rFonts w:ascii="Times New Roman" w:cs="Times New Roman" w:eastAsia="Times New Roman" w:hAnsi="Times New Roman"/>
          <w:sz w:val="17"/>
          <w:szCs w:val="17"/>
          <w:color w:val="auto"/>
        </w:rPr>
        <w:t>In January 2024, the FDA granted Fast Track designation for NX-5948 in the United States for the treatment of adult patients with relapsed or refractory CLL or small lymphocytic lymphoma after at least two lines of therapy, including a BTK inhibitory and a B-cell lymphoma 2 inhibitor. As part of our business strategy, we may also seek Fast Track designation for other of our drug candidates. Programs with Fast Track designation may be eligible for more frequent interactions with the FDA, and, if relevant criteria are met, eligibility for Accelerated Approval and Priority Review. Fast Track designation applies to the drug candidate and the specific indication for which it is being studied. The FDA has broad discretion whether or not to grant this designation, so even if we believe a particular drug candidate is eligible for this designation, we cannot guarantee that the FDA would decide to grant it. If a drug candidate receives Fast Track designation but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w:t>
      </w:r>
    </w:p>
    <w:p>
      <w:pPr>
        <w:spacing w:after="0" w:line="66"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17"/>
          <w:szCs w:val="17"/>
          <w:color w:val="auto"/>
        </w:rPr>
        <w:t>Furthermore, Fast Track designation does not change the standards for approval. The receipt of Fast Track designation for a drug candidate may not result in a faster development, regulatory review or approval process compared to drug candidates considered for approval under conventional FDA procedures and does not assure ultimate approval by the FDA. In addition, even if any drug candidate qualifies for FastTrack designation, the FDA may later decide that the drug candidate no longer meets the conditions for qualification or that the time period for FDA review or approval will not be shortened. Fast Track designation alone does not guarantee qualification for FDA Priority Review.</w:t>
      </w:r>
    </w:p>
    <w:p>
      <w:pPr>
        <w:spacing w:after="0" w:line="82"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Under FDA policies, a drug candidate is eligible for Priority Review, or review within a six-month time frame from the time a complete NDA is accepted for filing, if the drug candidate provides a significant improvement in safety or effectiveness of the treatment, diagnosis or prevention of serious conditions compared to available therapies. The FDA determines whether a drug qualifies for Priority Review after an NDA for such drug is submitted to the FDA. Therefore, until we submit NDAs for our drug candidates, we cannot be assured that they will be granted Priority Review. Even if Priority Review is granted for one of our drug candidates, the FDA does not always meet its six-month goal date for Priority Review, and the review process may be extended if the FDA requests additional information or clarification.</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may submit an NDA for our drug candidates under the Accelerated Approval pathway. If we are unable to obtain approval of our drug candidates through the Accelerated Approval Program in the United States, we may be required to conduct additional nonclinical and clinical studies and trials beyond those that we currently contemplate, which could increase the expense of obtaining, reduce the likelihood of obtaining and/or delay the timing of obtaining, necessary marketing approval. Even if we receive approval from the FDA through the Accelerated Approval Program, if our confirmatory postmarketing trial does not verify clinical benefit, or if we do not comply with rigorous postmarketing requirements, the FDA may seek to withdraw the approval.</w:t>
      </w:r>
    </w:p>
    <w:p>
      <w:pPr>
        <w:spacing w:after="0" w:line="69" w:lineRule="exact"/>
        <w:rPr>
          <w:sz w:val="20"/>
          <w:szCs w:val="20"/>
          <w:color w:val="auto"/>
        </w:rPr>
      </w:pPr>
    </w:p>
    <w:p>
      <w:pPr>
        <w:ind w:right="40" w:firstLine="619"/>
        <w:spacing w:after="0" w:line="245" w:lineRule="auto"/>
        <w:rPr>
          <w:sz w:val="20"/>
          <w:szCs w:val="20"/>
          <w:color w:val="auto"/>
        </w:rPr>
      </w:pPr>
      <w:r>
        <w:rPr>
          <w:rFonts w:ascii="Times New Roman" w:cs="Times New Roman" w:eastAsia="Times New Roman" w:hAnsi="Times New Roman"/>
          <w:sz w:val="17"/>
          <w:szCs w:val="17"/>
          <w:color w:val="auto"/>
        </w:rPr>
        <w:t>We may submit an NDA for one or more of our drug candidates seeking approval through the Accelerated Approval Pathway. For any approval to market a drug product, we must provide the FDA and foreign regulatory agencies with clinical data that adequately demonstrate the safety and efficacy of the product for the indication applied for in the NDA or other respective regulatory filings. The Accelerated Approval Program is one of several approaches used by the FDA to make prescription drugs more rapidly available for the treatment of serious or life-threatening diseases. Section 506(c) of the Federal Food, Drug and Cosmetic Act (FDCA) provides that the FDA may grant Accelerated Approval to “a product for a serious or life-threatening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Approval through the Accelerated Approval Program is subject, however, to the requirement that the applicant conduct additional postmarketing clinical trials to verify and describe the drug’s clinical benefit, where there is uncertainty as to the relationship of the surrogate endpoint to the clinical benefit, or of the observed clinical endpoint to ultimate outcome. Typically, clinical benefit is verified when postmarketing clinical trials show that the drug provides a clinically meaningful positive therapeutic effect, that is, an effect on how a patient feels, functions, or survives. The FDA may require that these studies be underway prior to Accelerated Approval pursuant to the Food and Drug Omnibus Reform Act of 2022. If such confirmatory trials fail to confirm the drug’s clinical profile or risks and benefits, the FDA may withdraw its approval of the drug.</w:t>
      </w:r>
    </w:p>
    <w:p>
      <w:pPr>
        <w:spacing w:after="0" w:line="74"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The FDA has broad discretion with regard to approval through the Accelerated Approval Program, and even if we believe that the Accelerated Approval Program is appropriate for one of our drug candidates, we cannot assure you that the FDA will ultimately agree. The FDA may also change its policies with respect to Accelerated Approval over time. For example, in March 2023, the FDA announced the availability of draft guidance on “Clinical Trial Considerations to Support Accelerated Approval of Oncology Therapeutics,” in which the agency outlined, and invited public comment on, its “preferred approach” of randomized controlled trials, including those that provide for longer term follow-up that could fulfill a postmarketing requirement to verify clinical benefit. In that draft guidance, the FDA acknowledged that historically, single-arm trial designs and response endpoints have most commonly been used in oncology but noted that such trials have limitations. Furthermore, even if we do obtain approval through the Accelerated Approval Program, we may not experience a faster development process, review or approval compared to conventional FDA procedures.</w:t>
      </w:r>
    </w:p>
    <w:p>
      <w:pPr>
        <w:spacing w:after="0" w:line="66" w:lineRule="exact"/>
        <w:rPr>
          <w:sz w:val="20"/>
          <w:szCs w:val="20"/>
          <w:color w:val="auto"/>
        </w:rPr>
      </w:pPr>
    </w:p>
    <w:p>
      <w:pPr>
        <w:ind w:right="100" w:firstLine="619"/>
        <w:spacing w:after="0" w:line="246" w:lineRule="auto"/>
        <w:rPr>
          <w:sz w:val="20"/>
          <w:szCs w:val="20"/>
          <w:color w:val="auto"/>
        </w:rPr>
      </w:pPr>
      <w:r>
        <w:rPr>
          <w:rFonts w:ascii="Times New Roman" w:cs="Times New Roman" w:eastAsia="Times New Roman" w:hAnsi="Times New Roman"/>
          <w:sz w:val="17"/>
          <w:szCs w:val="17"/>
          <w:color w:val="auto"/>
        </w:rPr>
        <w:t>Even if the FDA reviews an NDA seeking Accelerated Approval, there can be no assurance that approval will be granted on a timely basis, or at all. The FDA may disagree that the design of, or results from, our studies support Accelerated Approval. Additionally, the FDA could require us to conduct further studies or trials prior to granting approval of any type, including by determining that approval through the Accelerated Approval Program is not appropriate and that our clinical trials may not be used to support approval through the conventional pathway. We might not be able to fulfill the FDA’s requirements in a timely manner, which would cause delays, or approval might not be granted because our submission is deemed incomplete by the FDA. There also can be no assurance that after subsequent FDA feedback we will continue to pursue approval through the Accelerated Approval Program. A failure to obtain approval through the Accelerated Approval Program could result in a longer time period to obtain approval of our drug candidates, could increase the cost of their development, could delay our ability to commercialize our products and could significantly harm our financial position and competitive position in the marketplace.</w:t>
      </w:r>
    </w:p>
    <w:p>
      <w:pPr>
        <w:spacing w:after="0" w:line="86"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Even if we receive approval for one or more of our drug candidates through the Accelerated Approval Program, we will be subject to rigorous postmarketing requirements, including the completion of one or more confirmatory postmarketing trials as the FDA may require, to verify the clinical benefit of the product, and submission to the FDA of all promotional materials prior to their dissemination. The FDA could seek to withdraw the approval for multiple reasons, including if we fail to conduct any required confirmatory postmarketing trial with due diligence, our confirmatory postmarketing trial does not confirm the predicted clinical benefit, other evidence shows that the product is not safe or effective under the conditions of use, or we disseminate promotional materials that are found by the FDA to be false and misleading.</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20" w:firstLine="619"/>
        <w:spacing w:after="0" w:line="249" w:lineRule="auto"/>
        <w:rPr>
          <w:sz w:val="20"/>
          <w:szCs w:val="20"/>
          <w:color w:val="auto"/>
        </w:rPr>
      </w:pPr>
      <w:r>
        <w:rPr>
          <w:rFonts w:ascii="Times New Roman" w:cs="Times New Roman" w:eastAsia="Times New Roman" w:hAnsi="Times New Roman"/>
          <w:sz w:val="17"/>
          <w:szCs w:val="17"/>
          <w:color w:val="auto"/>
        </w:rPr>
        <w:t>Moreover, Congress is considering potential changes to the Accelerated Approval Program that could impact our ability to obtain Accelerated Approval, or increase the burdens associated with postmarketing requirements in the event we do obtain Accelerated Approval. In particular, the FDA must specify certain conditions for required postapproval studies for products that receive Accelerated Approval, which may include enrollment targets and milestones, including the target date for study completion, by the time the drug is approved. The FDA may also require postapproval studies to be underway at the time of Accelerated Approval or within a specified time period following Accelerated Approval for such drugs, and must explain any instances where it does not require such studies.</w:t>
      </w:r>
    </w:p>
    <w:p>
      <w:pPr>
        <w:spacing w:after="0" w:line="82" w:lineRule="exact"/>
        <w:rPr>
          <w:sz w:val="20"/>
          <w:szCs w:val="20"/>
          <w:color w:val="auto"/>
        </w:rPr>
      </w:pPr>
    </w:p>
    <w:p>
      <w:pPr>
        <w:ind w:right="180" w:firstLine="619"/>
        <w:spacing w:after="0" w:line="254" w:lineRule="auto"/>
        <w:rPr>
          <w:sz w:val="20"/>
          <w:szCs w:val="20"/>
          <w:color w:val="auto"/>
        </w:rPr>
      </w:pPr>
      <w:r>
        <w:rPr>
          <w:rFonts w:ascii="Times New Roman" w:cs="Times New Roman" w:eastAsia="Times New Roman" w:hAnsi="Times New Roman"/>
          <w:sz w:val="17"/>
          <w:szCs w:val="17"/>
          <w:color w:val="auto"/>
        </w:rPr>
        <w:t>Any delay in obtaining, or inability to obtain, approval through the Accelerated Approval Program, or any issues in maintaining approval granted under the Accelerated Approval Program, would delay or prevent commercialization of our products, and would materially adversely affect our business, financial condition, results of operations and prospects.</w:t>
      </w:r>
    </w:p>
    <w:p>
      <w:pPr>
        <w:spacing w:after="0" w:line="173"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as a company, have limited experience in filing for and obtaining regulatory approval to initiate a clinical trial, and we do not have experience completing any clinical trials, including large-scale, pivotal clinical trials or in manufacturing or in quality assurance in order to market a new drug in the United States or in any other jurisdiction.</w:t>
      </w:r>
    </w:p>
    <w:p>
      <w:pPr>
        <w:spacing w:after="0" w:line="61"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17"/>
          <w:szCs w:val="17"/>
          <w:color w:val="auto"/>
        </w:rPr>
        <w:t>As a company, we have limited experience in filing for or obtaining regulatory approval to initiate clinical trials, we do not have experience completing any clinical trials, including large-scale, pivotal clinical trials and we rely on third parties to conduct our clinical trials. We also do not have experience in manufacturing or in quality assurance in order to market a new drug and expect to rely on CROs or other third-party consultants or vendors to assist us in this process. Our inexperience may result in failure to or delays in obtaining the required regulatory approvals to initiate clinical trials, to successfully complete clinical trials and to obtain marketing approval for our drug candidates. If we are unable to obtain regulatory and marketing approval for our drug candidates or experience significant delays in our efforts to do so, our business could be substantially harmed.</w:t>
      </w:r>
    </w:p>
    <w:p>
      <w:pPr>
        <w:spacing w:after="0" w:line="179" w:lineRule="exact"/>
        <w:rPr>
          <w:sz w:val="20"/>
          <w:szCs w:val="20"/>
          <w:color w:val="auto"/>
        </w:rPr>
      </w:pPr>
    </w:p>
    <w:p>
      <w:pPr>
        <w:ind w:right="4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Failure to obtain marketing approval in foreign jurisdictions would prevent our drug candidates from being marketed abroad and may limit our ability to generate revenue from product sales.</w:t>
      </w:r>
    </w:p>
    <w:p>
      <w:pPr>
        <w:spacing w:after="0" w:line="43"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To market and sell our drug candidates in jurisdictions outside the United States, we must obtain separate marketing approvals and comply with numerous and varying regulatory requirements. The approval procedure varies among countries and can involve additional testing. The time required to obtain approvals from foreign regulatory authorities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on a timely basis or non-compliance with foreign regulatory requirements could result in significant delays, difficulties and costs for us and could delay or prevent the introduction of our drug candidates in certain countries.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jurisdiction, which would materially impair our ability to generate revenue.</w:t>
      </w:r>
    </w:p>
    <w:p>
      <w:pPr>
        <w:spacing w:after="0" w:line="72"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17"/>
          <w:szCs w:val="17"/>
          <w:color w:val="auto"/>
        </w:rPr>
        <w:t>The UK’s exit from the EU continues to create political and economic uncertainty, particularly in the UK and the EU. The UK is now being treated as a “third country” by the EU. Although UK legislation has retained existing EU law, new UK legislation is being drafted and the UK has not retained new EU law, including the Clinical Trials Regulation (EU) No 536/2014. This means that some regulatory activities, such as batch testing and Qualified Person certification, conducted in the UK are no longer recognized in the EU; although the UK accepts the batch testing data carried out in many third countries with recognized equivalent high standards to avoid delays and supply disruption due to re-testing. However, the UK and EU have concluded a Trade and Cooperation Agreement (TCA), which has been approved by the UK Parliament, European Council and European Parliament and has limited the disruption to the supply of medicines, particularly by enabling tariff and quota-free trade between the UK and the EU (provided that the rules of origin requirements are met), and has streamlined some issues, for example by enabling mutual recognition of cGMP inspections and certificates. The regulatory framework for medicines that existed before the end of the transition period has also effectively been preserved in UK domestic legislation as “retained EU law.” By retaining a snapshot of EU legislation at its core, the UK has prevented substantial divergence in the regulation of medicines (although divergence has appeared in some areas). However, some changes to the UK legislation have been immediately necessary, including the implementation of the Northern Ireland Protocol (NIP), pursuant to which, the EU pharmaceutical legal framework acquis continues to apply in Northern Ireland (subject to periodic consent of the Northern Ireland Legislative Assembly), and only products compliant with EU law can be placed in the Northern Ireland market—adding an extra layer of regulatory complexity. As a result, companies now need to comply with a separate UK regulatory legal framework in order to commercialize medicinal products in Great Britain (namely, England, Wales and Scotland, as EU law continues to apply in Northern Ireland). The UK government has attempted to renegotiate fundamental aspects of the NIP so this is an unpredictable area for companies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in the near future. Failed attempts to renegotiate the NIP have led to media reports of the UK potentially triggering Article 16 of the NIP, a safeguarding measure, that may be engaged unilaterally if the application of the NIP leads to serious economic, societal or environmental difficulties that are liable to persist, or to diversion of trade. The UK government has introduced the Northern Ireland Protocol Bill which, if enacted into law, would enable the government to unilaterally disapply parts of the NIP which may lead to changes to the regulatory environment in Northern Ireland, and may trigger retaliatory measures against the UK by the EU. The UK government reached a new agreement with the EU, the “Windsor Framework,” which aims to amend the NIP. According to the Windsor Framework, medicinal products intended for the UK market including Northern Ireland will be authorized by the MHRA and will bear a “UK only” label. This means that medicinal products placed on the market in Northern Ireland will no longer need to be compliant with EU law. These new measures will be implemented beginning January 1, 2025. The TCA allows for future deviation from the current regulatory framework, and it is not known if and/or when any deviations may occur, which may have an impact on development, manufacture, marketing authorization, commercial sales and distribution of pharmaceutical products. It is also important to note that obtaining a marketing authorization is not sufficient to gain effective access to the market in the EU and in the UK; companies still need to agree to a reimbursement price for the products and in some jurisdictions, such as the UK and Germany, a further positive recommendation from health technology on cost-effectiveness is required for the products to be actually prescribed and reimbursed by the respective national health systems (see “—Governments outside of the United States tend to impose strict price controls, which may adversely affect our revenues from the sales of drugs, if any” below). If we fail to comply with the regulatory requirements in international markets and thus do not receive applicable marketing approvals, our target market will be reduced, our ability to realize the full market potential of our drug candidates will be harmed and our business will be adversely affected. We may not obtain foreign regulatory approvals on a timely basis, or at all. Our failure to obtain approval of any of our drug candidates by regulatory authorities in another country may significantly diminish the commercial prospects of that drug candidate and our business prospects could decline.</w:t>
      </w:r>
    </w:p>
    <w:p>
      <w:pPr>
        <w:spacing w:after="0" w:line="186"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Even if we, or any collaborators, obtain marketing approvals for our drug candidates, the terms of approvals and ongoing regulation of our products may limit how we, or they, manufacture and market our products, which could materially impair our ability to generate revenue.</w:t>
      </w:r>
    </w:p>
    <w:p>
      <w:pPr>
        <w:spacing w:after="0" w:line="43"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Once marketing approval has been granted, an approved product and its manufacturer and marketer are subject to ongoing review and extensive regulation. We, and any collaborators, must therefore comply with requirements concerning advertising and promotion for any of our drug candidates for which we or they obtain marketing approval. Promotional communications with respect to prescription drugs are subject to a variety of legal and regulatory restrictions and must be consistent with the information in the product’s approved labeling. Thus, we, and any collaborators, will not be able to promote any products we develop for indications or uses for which they are not approved.</w:t>
      </w:r>
    </w:p>
    <w:p>
      <w:pPr>
        <w:spacing w:after="0" w:line="69" w:lineRule="exact"/>
        <w:rPr>
          <w:sz w:val="20"/>
          <w:szCs w:val="20"/>
          <w:color w:val="auto"/>
        </w:rPr>
      </w:pPr>
    </w:p>
    <w:p>
      <w:pPr>
        <w:ind w:right="100" w:firstLine="619"/>
        <w:spacing w:after="0" w:line="253" w:lineRule="auto"/>
        <w:rPr>
          <w:sz w:val="20"/>
          <w:szCs w:val="20"/>
          <w:color w:val="auto"/>
        </w:rPr>
      </w:pPr>
      <w:r>
        <w:rPr>
          <w:rFonts w:ascii="Times New Roman" w:cs="Times New Roman" w:eastAsia="Times New Roman" w:hAnsi="Times New Roman"/>
          <w:sz w:val="17"/>
          <w:szCs w:val="17"/>
          <w:color w:val="auto"/>
        </w:rPr>
        <w:t>In addition, manufacturers of approved products and those manufacturers’ facilities are required to comply with extensive FDA, EMA, MHRA and other regulatory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collaborators and their third-party manufacturers could be subject to periodic unannounced inspections by the FDA and other regulatory agencies to monitor and ensure compliance with cGMPs.</w:t>
      </w:r>
    </w:p>
    <w:p>
      <w:pPr>
        <w:spacing w:after="0" w:line="65" w:lineRule="exact"/>
        <w:rPr>
          <w:sz w:val="20"/>
          <w:szCs w:val="20"/>
          <w:color w:val="auto"/>
        </w:rPr>
      </w:pPr>
    </w:p>
    <w:p>
      <w:pPr>
        <w:ind w:right="260" w:firstLine="619"/>
        <w:spacing w:after="0" w:line="262" w:lineRule="auto"/>
        <w:rPr>
          <w:sz w:val="20"/>
          <w:szCs w:val="20"/>
          <w:color w:val="auto"/>
        </w:rPr>
      </w:pPr>
      <w:r>
        <w:rPr>
          <w:rFonts w:ascii="Times New Roman" w:cs="Times New Roman" w:eastAsia="Times New Roman" w:hAnsi="Times New Roman"/>
          <w:sz w:val="17"/>
          <w:szCs w:val="17"/>
          <w:color w:val="auto"/>
        </w:rPr>
        <w:t>Accordingly, assuming we, or any collaborators, receive marketing approval for one or more of our drug candidates, we, any collaborators, and our respective third-party manufacturers will continue to expend time, money and effort in all areas of regulatory compliance, including manufacturing, production, product surveillance and quality control.</w:t>
      </w:r>
    </w:p>
    <w:p>
      <w:pPr>
        <w:spacing w:after="0" w:line="56" w:lineRule="exact"/>
        <w:rPr>
          <w:sz w:val="20"/>
          <w:szCs w:val="20"/>
          <w:color w:val="auto"/>
        </w:rPr>
      </w:pPr>
    </w:p>
    <w:p>
      <w:pPr>
        <w:ind w:right="140" w:firstLine="619"/>
        <w:spacing w:after="0" w:line="254" w:lineRule="auto"/>
        <w:rPr>
          <w:sz w:val="20"/>
          <w:szCs w:val="20"/>
          <w:color w:val="auto"/>
        </w:rPr>
      </w:pPr>
      <w:r>
        <w:rPr>
          <w:rFonts w:ascii="Times New Roman" w:cs="Times New Roman" w:eastAsia="Times New Roman" w:hAnsi="Times New Roman"/>
          <w:sz w:val="17"/>
          <w:szCs w:val="17"/>
          <w:color w:val="auto"/>
        </w:rPr>
        <w:t>If we, and any collaborators, are not able to comply with post-approval regulatory requirements, we, and any collaborators, could have the marketing approvals for our products withdrawn by regulatory authorities and our, or any collaborators’, ability to market any future products could be limited, which could adversely affect our ability to achieve or sustain profitability. Further, the cost of compliance with post-approval regulations may have a negative effect on our business, results of operations, financial condition and prospects.</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Any drug candidate for which we, or any collaborators, obtain marketing approval could be subject to post-marketing restrictions or withdrawal from the market and we, or any collaborators, may be subject to substantial penalties if we, or they, fail to comply with regulatory requirements or if we, or they, experience unanticipated problems with our products when and if any of them are approved.</w:t>
      </w:r>
    </w:p>
    <w:p>
      <w:pPr>
        <w:spacing w:after="0" w:line="61"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17"/>
          <w:szCs w:val="17"/>
          <w:color w:val="auto"/>
        </w:rPr>
        <w:t>Any drug candidate for which we, or any collaborators, obtain marketing approval, as well as the manufacturing processes, post-approval clinical data, labeling, advertising and promotional activities for such product, will be subject to continual requirements of and review by the FDA, EMA, the MHRA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tracking and tracing, serialization, postmarket adverse event reporting and recordkeeping. Even if marketing approval of a drug candidate is granted, the approval may be subject to limitations on the indicated uses for which the product may be marketed or to the conditions of approval, including the requirement to implement REMS. New cancer drugs frequently are indicated only for patient populations that have not responded to an existing therapy or have relapsed. If any of our drug candidates receive marketing approval, the accompanying label may limit the approved use of our drug in this way, which could limit sales of the product.</w:t>
      </w:r>
    </w:p>
    <w:p>
      <w:pPr>
        <w:spacing w:after="0" w:line="72"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Clinical trials of our drug candidates must be conducted in carefully defined subsets of patients who have agreed to enter into clinical trials. Consequently, it is possible that our clinical trials, or those of any future collaborator, may indicate an apparent positive effect of a drug candidate that is greater than the actual positive effect, if any, or alternatively fail to identify undesirable side effects. If one or more of our drug candidates receives marketing approval and we, or others, discover that the drug is less effective than previously believed or causes undesirable side effects that were not previously identified, a number of potentially significant negative consequences could result, including:</w:t>
      </w:r>
    </w:p>
    <w:p>
      <w:pPr>
        <w:spacing w:after="0" w:line="82" w:lineRule="exact"/>
        <w:rPr>
          <w:sz w:val="20"/>
          <w:szCs w:val="20"/>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withdraw their approval of the drug or seize the drug;</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any future collaborators, may be required to recall the drug, change the way the drug is administered or conduct additional clinical trials;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restrictions may be imposed on the marketing of, or the manufacturing processes for, the particular drug;</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fines, injunctions or the imposition of civil or criminal penalties;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the addition of labeling statements, such as a “black box” warning or a contraindication;</w:t>
      </w:r>
    </w:p>
    <w:p>
      <w:pPr>
        <w:spacing w:after="0" w:line="101" w:lineRule="exact"/>
        <w:rPr>
          <w:rFonts w:ascii="Times New Roman" w:cs="Times New Roman" w:eastAsia="Times New Roman" w:hAnsi="Times New Roman"/>
          <w:sz w:val="17"/>
          <w:szCs w:val="17"/>
          <w:color w:val="auto"/>
        </w:rPr>
      </w:pPr>
    </w:p>
    <w:p>
      <w:pPr>
        <w:ind w:left="940" w:right="540" w:hanging="318"/>
        <w:spacing w:after="0" w:line="287" w:lineRule="auto"/>
        <w:tabs>
          <w:tab w:leader="none" w:pos="9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any future collaborators, may be required to create a Medication Guide outlining the risks of the previously unidentified side effects for distribution to patients;</w:t>
      </w:r>
    </w:p>
    <w:p>
      <w:pPr>
        <w:spacing w:after="0" w:line="3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any future collaborators, could be sued and held liable for harm caused to patients;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drug may become less competitive in the marketplace; and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reputation may suffer.</w:t>
      </w:r>
    </w:p>
    <w:p>
      <w:pPr>
        <w:spacing w:after="0" w:line="1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Any of these events could have a material and adverse effect on our operations and business and could adversely impact our stock price.</w:t>
      </w:r>
    </w:p>
    <w:p>
      <w:pPr>
        <w:spacing w:after="0" w:line="101"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17"/>
          <w:szCs w:val="17"/>
          <w:color w:val="auto"/>
        </w:rPr>
        <w:t>The FDA also may impose requirements for costly post-marketing studies or clinical trials and surveillance to monitor the safety or efficacy of the product, including the adoption and implementation of REMS. The FDA and other agencies, including the U.S. Department of Justice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only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 Other jurisdictions, including European countries, have similar provisions which may lead to investigations and enforcement actions by national authorities.</w:t>
      </w:r>
    </w:p>
    <w:p>
      <w:pPr>
        <w:spacing w:after="0" w:line="66" w:lineRule="exact"/>
        <w:rPr>
          <w:sz w:val="20"/>
          <w:szCs w:val="20"/>
          <w:color w:val="auto"/>
        </w:rPr>
      </w:pPr>
    </w:p>
    <w:p>
      <w:pPr>
        <w:ind w:right="60" w:firstLine="619"/>
        <w:spacing w:after="0" w:line="271" w:lineRule="auto"/>
        <w:rPr>
          <w:sz w:val="20"/>
          <w:szCs w:val="20"/>
          <w:color w:val="auto"/>
        </w:rPr>
      </w:pPr>
      <w:r>
        <w:rPr>
          <w:rFonts w:ascii="Times New Roman" w:cs="Times New Roman" w:eastAsia="Times New Roman" w:hAnsi="Times New Roman"/>
          <w:sz w:val="17"/>
          <w:szCs w:val="17"/>
          <w:color w:val="auto"/>
        </w:rPr>
        <w:t>In addition, later discovery of previously unknown side effects or other problems with our products or their manufacturers or manufacturing processes, or failure to comply with regulatory requirements, may yield various results, including:</w:t>
      </w:r>
    </w:p>
    <w:p>
      <w:pPr>
        <w:spacing w:after="0" w:line="48" w:lineRule="exact"/>
        <w:rPr>
          <w:sz w:val="20"/>
          <w:szCs w:val="20"/>
          <w:color w:val="auto"/>
        </w:rPr>
      </w:pPr>
    </w:p>
    <w:p>
      <w:pPr>
        <w:ind w:left="5840" w:right="5220" w:hanging="5218"/>
        <w:spacing w:after="0" w:line="983" w:lineRule="auto"/>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such products, manufacturers or manufacturing processes;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-330835</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and warnings on the labeling or marketing of a product;</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product distribution or use;</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conduct post-marketing studies or clinical trials;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warning letters or untitled letters;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the products from the market;</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approve pending applications or supplements to approved applications that we submit;</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recall of products;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restitution or disgorgement of profits or revenues;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or withdrawal of marketing approvals;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of any ongoing clinical trials;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to relationships with any potential collaborators;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press coverage and damage to our reputation;</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permit the import or export of our products;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or the imposition of civil or criminal penalties; or</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involving patients using our products.</w:t>
      </w:r>
    </w:p>
    <w:p>
      <w:pPr>
        <w:spacing w:after="0" w:line="101"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color w:val="auto"/>
        </w:rPr>
        <w:t>Non-compliance with EU and UK requirements regarding safety monitoring or pharmacovigilance, and with requirements related to the development of products for the pediatric population (as explained further under “—If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 below), also can result in significant financial penalties, and non-compliance with pediatric requirements may prevent regulatory approvals from being granted. Similarly, failure to comply with the EU and UK’s requirements regarding the protection of personal information can lead to significant penalties and sanctions.</w:t>
      </w:r>
    </w:p>
    <w:p>
      <w:pPr>
        <w:spacing w:after="0" w:line="67" w:lineRule="exact"/>
        <w:rPr>
          <w:sz w:val="20"/>
          <w:szCs w:val="20"/>
          <w:color w:val="auto"/>
        </w:rPr>
      </w:pPr>
    </w:p>
    <w:p>
      <w:pPr>
        <w:ind w:right="20" w:firstLine="619"/>
        <w:spacing w:after="0" w:line="248" w:lineRule="auto"/>
        <w:rPr>
          <w:sz w:val="20"/>
          <w:szCs w:val="20"/>
          <w:color w:val="auto"/>
        </w:rPr>
      </w:pPr>
      <w:r>
        <w:rPr>
          <w:rFonts w:ascii="Times New Roman" w:cs="Times New Roman" w:eastAsia="Times New Roman" w:hAnsi="Times New Roman"/>
          <w:sz w:val="17"/>
          <w:szCs w:val="17"/>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which include requirements relating to quality control and quality assurance, as well as the corresponding maintenance of records and documentation and reporting requirements. We, any contract manufacturers we may engage in the future, our collaborators and their contract manufacturers also will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17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we decide to seek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spacing w:after="0" w:line="61"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We may seek Orphan Drug Designation or other designations from regulators for one or more of our current or future drug candidates. Regulatory authorities in some jurisdictions, including the United States, EU and European Economic Area (EEA), Switzerland and the UK, may designate drugs or biological products for relatively small patient populations as orphan drugs. Under the Orphan Drug Act, the FDA may grant orphan designation to a drug or biological product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or biological product. In the United States, Orphan Drug Designation entitles a party to financial incentives such as opportunities for grant funding towards clinical trial costs, tax advantages and user-fee waivers. After the FDA grants Orphan Drug Designation, the identity of the drug or biological product and its potential orphan use are disclosed publicly by the FDA. Orphan Drug Designation does not convey any advantage in, or shorten the duration of, the regulatory review process.</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If a product that has Orphan Drug Designation subsequently receives the first FDA approval for the disease for which it has such designation, the product is entitled to orphan product exclusivity, which means that the FDA may not approve any other applications, including an NDA or BLA, to market the same drug or biological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biological product was designated. As a result, even if one of our drug candidates receives orphan exclusivity, the FDA can still approve or license other drugs or biological products for use in treating the same indication or disease. Further, the FDA can waive orphan exclusivity if we are unable to manufacture sufficient supply of our product.</w:t>
      </w:r>
    </w:p>
    <w:p>
      <w:pPr>
        <w:spacing w:after="0" w:line="69" w:lineRule="exact"/>
        <w:rPr>
          <w:sz w:val="20"/>
          <w:szCs w:val="20"/>
          <w:color w:val="auto"/>
        </w:rPr>
      </w:pPr>
    </w:p>
    <w:p>
      <w:pPr>
        <w:jc w:val="both"/>
        <w:ind w:right="80" w:firstLine="619"/>
        <w:spacing w:after="0" w:line="262" w:lineRule="auto"/>
        <w:rPr>
          <w:sz w:val="20"/>
          <w:szCs w:val="20"/>
          <w:color w:val="auto"/>
        </w:rPr>
      </w:pPr>
      <w:r>
        <w:rPr>
          <w:rFonts w:ascii="Times New Roman" w:cs="Times New Roman" w:eastAsia="Times New Roman" w:hAnsi="Times New Roman"/>
          <w:sz w:val="17"/>
          <w:szCs w:val="17"/>
          <w:color w:val="auto"/>
        </w:rPr>
        <w:t>In addition, Congress is considering updates to the orphan drug provisions of the FDCA in response to a 2021 decision by the U.S. Court of Appeals for the Eleventh Circuit. Any changes to the orphan drug provisions could change our opportunities for, or likelihood of success in obtaining, orphan drug exclusivity and would materially adversely affect our business, results of operations, financial condition and prospects.</w:t>
      </w:r>
    </w:p>
    <w:p>
      <w:pPr>
        <w:spacing w:after="0" w:line="56" w:lineRule="exact"/>
        <w:rPr>
          <w:sz w:val="20"/>
          <w:szCs w:val="20"/>
          <w:color w:val="auto"/>
        </w:rPr>
      </w:pPr>
    </w:p>
    <w:p>
      <w:pPr>
        <w:ind w:firstLine="619"/>
        <w:spacing w:after="0" w:line="253" w:lineRule="auto"/>
        <w:rPr>
          <w:sz w:val="20"/>
          <w:szCs w:val="20"/>
          <w:color w:val="auto"/>
        </w:rPr>
      </w:pPr>
      <w:r>
        <w:rPr>
          <w:rFonts w:ascii="Times New Roman" w:cs="Times New Roman" w:eastAsia="Times New Roman" w:hAnsi="Times New Roman"/>
          <w:sz w:val="17"/>
          <w:szCs w:val="17"/>
          <w:color w:val="auto"/>
        </w:rPr>
        <w:t>We may seek Orphan Drug Designation for our drug candidates in additional orphan indications in which there is a medically plausible basis for the use of these drug candidates. Even when we obtain Orphan Drug Designation, exclusive marketing rights in the United States may be limited if we seek licensure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may seek Orphan Drug Designation for other drug candidates, we may never receive these designations.</w:t>
      </w:r>
    </w:p>
    <w:p>
      <w:pPr>
        <w:spacing w:after="0" w:line="65"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In order to obtain orphan designation in the EEA (the UK has a similar legislation), the product must fulfill certain criteria. Under Article 3 of Regulation (EC) 141/2000, a medicinal product may be designated as an orphan medicinal product if it meets the following criteria: (1) it is intended for the diagnosis, prevention or treatment of a life-threatening or chronically debilitating condition;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w:t>
      </w:r>
    </w:p>
    <w:p>
      <w:pPr>
        <w:spacing w:after="0" w:line="69"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17"/>
          <w:szCs w:val="17"/>
          <w:color w:val="auto"/>
        </w:rPr>
        <w:t>Products receiving orphan designation in the EU may receive 10 years of orphan market exclusivity (which can be further extended by two years if pediatric studies have been conducted in accordance with an agreed pediatric investigational plan). Applications must first satisfy the orphan designation criteria and apply for orphan designation before making the application for marketing authorization. The applicant must then successfully maintain the orphan designation at the time of the MAA in order to qualify for 10 years of orphan market exclusivity. During this 10-year period, the competent authorities of the EU Member States and European Commission may not accept applications or grant marketing authorization for other similar medicinal products for the same orphan therapeutic indication. The protection afforded by orphan market exclusivity in the EU may, in some circumstances, be circumvented by competitor products which are demonstrated not to be “similar” or which are authorized for different therapeutic indications. There may be a risk that products may be prescribed “off-label” for the orphan therapeutic indication by healthcare professions in some EU Member States.</w:t>
      </w:r>
    </w:p>
    <w:p>
      <w:pPr>
        <w:spacing w:after="0" w:line="66" w:lineRule="exact"/>
        <w:rPr>
          <w:sz w:val="20"/>
          <w:szCs w:val="20"/>
          <w:color w:val="auto"/>
        </w:rPr>
      </w:pPr>
    </w:p>
    <w:p>
      <w:pPr>
        <w:ind w:right="80" w:firstLine="619"/>
        <w:spacing w:after="0" w:line="271" w:lineRule="auto"/>
        <w:rPr>
          <w:sz w:val="20"/>
          <w:szCs w:val="20"/>
          <w:color w:val="auto"/>
        </w:rPr>
      </w:pPr>
      <w:r>
        <w:rPr>
          <w:rFonts w:ascii="Times New Roman" w:cs="Times New Roman" w:eastAsia="Times New Roman" w:hAnsi="Times New Roman"/>
          <w:sz w:val="17"/>
          <w:szCs w:val="17"/>
          <w:color w:val="auto"/>
        </w:rPr>
        <w:t>There are also three exceptions to the orphan market exclusivity principle. Marketing authorization may be granted to a similar medicinal product for the same orphan therapeutic indication if:</w:t>
      </w:r>
    </w:p>
    <w:p>
      <w:pPr>
        <w:spacing w:after="0" w:line="61" w:lineRule="exact"/>
        <w:rPr>
          <w:sz w:val="20"/>
          <w:szCs w:val="20"/>
          <w:color w:val="auto"/>
        </w:rPr>
      </w:pPr>
    </w:p>
    <w:p>
      <w:pPr>
        <w:ind w:left="940" w:right="20" w:hanging="318"/>
        <w:spacing w:after="0" w:line="271" w:lineRule="auto"/>
        <w:tabs>
          <w:tab w:leader="none" w:pos="9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second applicant can establish in its application that its medicinal product, although similar to the orphan medicinal product already authorized, is safer, more effective or otherwise clinically superior;</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of the marketing authorization for the original orphan medicinal product consents to a second orphan medicinal product application; or</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of the marketing authorization for the original orphan medicinal product cannot supply sufficient quantities of orphan medicinal product.</w:t>
      </w:r>
    </w:p>
    <w:p>
      <w:pPr>
        <w:spacing w:after="0" w:line="114" w:lineRule="exact"/>
        <w:rPr>
          <w:sz w:val="20"/>
          <w:szCs w:val="20"/>
          <w:color w:val="auto"/>
        </w:rPr>
      </w:pPr>
    </w:p>
    <w:p>
      <w:pPr>
        <w:jc w:val="both"/>
        <w:ind w:right="20" w:firstLine="619"/>
        <w:spacing w:after="0" w:line="254" w:lineRule="auto"/>
        <w:rPr>
          <w:sz w:val="20"/>
          <w:szCs w:val="20"/>
          <w:color w:val="auto"/>
        </w:rPr>
      </w:pPr>
      <w:r>
        <w:rPr>
          <w:rFonts w:ascii="Times New Roman" w:cs="Times New Roman" w:eastAsia="Times New Roman" w:hAnsi="Times New Roman"/>
          <w:sz w:val="17"/>
          <w:szCs w:val="17"/>
          <w:color w:val="auto"/>
        </w:rPr>
        <w:t>An orphan product can also obtain an additional two years of orphan market exclusivity in the EU if the MAA contains the results of all pediatric studies conducted in accordance with and agreed pediatric investigation plan. The 10-year market exclusivity may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62" w:lineRule="exact"/>
        <w:rPr>
          <w:sz w:val="20"/>
          <w:szCs w:val="20"/>
          <w:color w:val="auto"/>
        </w:rPr>
      </w:pPr>
    </w:p>
    <w:p>
      <w:pPr>
        <w:ind w:right="380" w:firstLine="619"/>
        <w:spacing w:after="0" w:line="271" w:lineRule="auto"/>
        <w:rPr>
          <w:sz w:val="20"/>
          <w:szCs w:val="20"/>
          <w:color w:val="auto"/>
        </w:rPr>
      </w:pPr>
      <w:r>
        <w:rPr>
          <w:rFonts w:ascii="Times New Roman" w:cs="Times New Roman" w:eastAsia="Times New Roman" w:hAnsi="Times New Roman"/>
          <w:sz w:val="17"/>
          <w:szCs w:val="17"/>
          <w:color w:val="auto"/>
        </w:rPr>
        <w:t>The UK’s regulatory legal framework provides for similar periods of protection (namely regulatory data protection, marketing protection and market exclusivity).</w:t>
      </w:r>
    </w:p>
    <w:p>
      <w:pPr>
        <w:spacing w:after="0" w:line="200" w:lineRule="exact"/>
        <w:rPr>
          <w:sz w:val="20"/>
          <w:szCs w:val="20"/>
          <w:color w:val="auto"/>
        </w:rPr>
      </w:pPr>
    </w:p>
    <w:p>
      <w:pPr>
        <w:spacing w:after="0" w:line="3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619"/>
        <w:spacing w:after="0" w:line="250" w:lineRule="auto"/>
        <w:rPr>
          <w:sz w:val="20"/>
          <w:szCs w:val="20"/>
          <w:color w:val="auto"/>
        </w:rPr>
      </w:pPr>
      <w:r>
        <w:rPr>
          <w:rFonts w:ascii="Times New Roman" w:cs="Times New Roman" w:eastAsia="Times New Roman" w:hAnsi="Times New Roman"/>
          <w:sz w:val="17"/>
          <w:szCs w:val="17"/>
          <w:color w:val="auto"/>
        </w:rPr>
        <w:t>It is important to note that the regulatory protection afforded to medicinal products such as data exclusivity, marketing protection, market exclusivity for orphan indications and pediatric extension are currently under review at the EU level. It is expected that the protection currently afforded in the EU will be reduced in the years to come. On April 26, 2023, the European Commission adopted a proposal for a new Directive and a new Regulation. If enacted into law, this proposal will revise and replace the existing general pharmaceutical legislation and will affect the existing period of regulatory protections afforded to medicinal products. The proposal is now undergoing the legislative process and the text of the initial proposal is likely to be amended by the European Parliament and the European Council.</w:t>
      </w:r>
    </w:p>
    <w:p>
      <w:pPr>
        <w:spacing w:after="0" w:line="165"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the FDA or comparable foreign regulatory authorities approve generic versions of any of our drug candidates that receive marketing approval, or such authorities do not grant our drug candidates appropriate periods of data or market exclusivity before approving generic versions of our drug candidates, the sales of our drug candidates could be adversely affected.</w:t>
      </w:r>
    </w:p>
    <w:p>
      <w:pPr>
        <w:spacing w:after="0" w:line="61"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(ANDAs) in the United States. In support of an ANDA, a generic manufacturer need not conduct clinical trials demonstrating safety and efficacy. Rather, the applicant generally must show that its drug is pharmaceutically equivalent to the reference listed drug, in that it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spacing w:after="0" w:line="86"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17"/>
          <w:szCs w:val="17"/>
          <w:color w:val="auto"/>
        </w:rPr>
        <w:t>The FDA may not approve an ANDA for a generic drug until any applicable period of non-patent exclusivity for the reference-listed drug has expired. The FDCA provides a period of five years of non-patent exclusivity for a new drug containing a new chemical entity. During the exclusivity period, the FDA may not accept for review an ANDA or a 505(b)(2) NDA submitted by another company for another version of such drug candidate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drug candidate. This three-year exclusivity covers only the conditions associated with the new clinical investigations and does not prohibit the FDA from approving ANDAs for drug candidates containing the original active agent for other conditions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these generic drugs following the expiration of the marketing exclusivity period, even if we still have patent protection for our drug.</w:t>
      </w:r>
    </w:p>
    <w:p>
      <w:pPr>
        <w:spacing w:after="0" w:line="90" w:lineRule="exact"/>
        <w:rPr>
          <w:sz w:val="20"/>
          <w:szCs w:val="20"/>
          <w:color w:val="auto"/>
        </w:rPr>
      </w:pPr>
    </w:p>
    <w:p>
      <w:pPr>
        <w:ind w:right="240" w:firstLine="619"/>
        <w:spacing w:after="0" w:line="254" w:lineRule="auto"/>
        <w:rPr>
          <w:sz w:val="20"/>
          <w:szCs w:val="20"/>
          <w:color w:val="auto"/>
        </w:rPr>
      </w:pPr>
      <w:r>
        <w:rPr>
          <w:rFonts w:ascii="Times New Roman" w:cs="Times New Roman" w:eastAsia="Times New Roman" w:hAnsi="Times New Roman"/>
          <w:sz w:val="17"/>
          <w:szCs w:val="17"/>
          <w:color w:val="auto"/>
        </w:rPr>
        <w:t>Competition that our drug candidates may face from generic versions of our drug candidates could materially and adversely impact our future revenue, profitability and cash flows and substantially limit our ability to obtain a return on the investments we have made in those drug candidates. Our future revenues, profitability and cash flows could also be materially and adversely affected and our ability to obtain a return on the investments we have made in those drug candidates may be substantially limited if our drug candidates, if and when approved, are not afforded the appropriate periods of non-patent exclusivity.</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w:t>
      </w:r>
    </w:p>
    <w:p>
      <w:pPr>
        <w:spacing w:after="0" w:line="61"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Where an applicant for a marketing authorization submits a full dossier containing its own pharmaceutical, preclinical tests and clinical trials data, and where the application does not fall within the “global marketing authorization” of an existing medicinal product, the applicant is entitled to eight years of regulatory data protection upon grant of the marketing authorization (the period starts to run from the first marketing authorization in the EU and EEA). During this period, applicants for approval of generics or biosimilars cannot rely on data contained in the marketing authorization dossier submitted for the already authorized, or reference, medicinal product to support their application. After the expiration of the eight-year period of regulatory data protection, the reference medicinal product benefits from a further two-year period of marketing protection. During these two years of marketing protection, no generic or biosimilar medicinal product that relies upon the reference medicinal product’s dossier may be placed on the EU market, but a generic or biosimilar MAA can be submitted to the competent regulatory authorities in the EU Member States during this time. The two-year period of marketing protection can further be extended by one year if, during the first eight years of the grant of the first marketing authorization, the marketing authorization holder obtains an authorization for one or more new therapeutic indications which, during the scientific evaluation prior to their authorization, are held to bring a significant clinical benefit in comparison with existing therapies. However, even if a compound is considered to be a new active substance and the innovator is able to gain the period of regulatory data protection and marketing protection, provided that no other IP or regulatory exclusivities applied, another unrelated company could also apply for a marketing authorization and market another competing medicinal product for the same therapeutic indication if such company obtained its own marketing authorization based on a separate MAA based on a full self-standing scientific data package supporting the application. The period of regulatory data protection and marketing protection applies in the UK (running from the date of the first authorization in Great Britain).</w:t>
      </w:r>
    </w:p>
    <w:p>
      <w:pPr>
        <w:spacing w:after="0" w:line="75" w:lineRule="exact"/>
        <w:rPr>
          <w:sz w:val="20"/>
          <w:szCs w:val="20"/>
          <w:color w:val="auto"/>
        </w:rPr>
      </w:pPr>
    </w:p>
    <w:p>
      <w:pPr>
        <w:ind w:right="80" w:firstLine="619"/>
        <w:spacing w:after="0" w:line="247" w:lineRule="auto"/>
        <w:rPr>
          <w:sz w:val="20"/>
          <w:szCs w:val="20"/>
          <w:color w:val="auto"/>
        </w:rPr>
      </w:pPr>
      <w:r>
        <w:rPr>
          <w:rFonts w:ascii="Times New Roman" w:cs="Times New Roman" w:eastAsia="Times New Roman" w:hAnsi="Times New Roman"/>
          <w:sz w:val="17"/>
          <w:szCs w:val="17"/>
          <w:color w:val="auto"/>
        </w:rPr>
        <w:t>In the EU, pursuant to Regulation 1901/2006, and in the UK pursuant to the Human Medicines Regulations 2012 (as amended), MAAs must include pediatric data based on pediatric investigation plans agreed with the EMA if the MAA concerns (i) a new active substance, or (ii) a new indication, pharmacological form, or route of administration (where the product is protected by an SPC or a patent qualifying for an SPC). Applicants may obtain waivers or deferrals to these requirements in certain circumstances (for example a waiver may be obtained if the condition only occurs in adult populations). Where required, pediatric studies must cover all sub-sets of the pediatric population for both existing and new indications, pharmacological forms and route of administrations. Limited further exclusions apply, including in relation to generic or biosimilar applications. Certain rewards may be available for completion of pediatric studies. For example, where MAAs include the results of all studies conducted in compliance with an agreed pediatric investigation plan, the holder of the patent or SPC may be entitled to a six-month extension to the SPC. Additionally, the European Commission’s new proposed legislation, if implemented, will also affect the current EU legal framework of pediatric medicines.</w:t>
      </w:r>
    </w:p>
    <w:p>
      <w:pPr>
        <w:spacing w:after="0" w:line="16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operations and relationships with actual and potential customers, providers and third-party payors will be subject to applicable anti-kickback, fraud and abuse and other healthcare laws and regulations, which could expose us to penalties including criminal sanctions, civil penalties, exclusions from government programs, contractual damages and reputational harm, and could diminish our future profits and earnings.</w:t>
      </w:r>
    </w:p>
    <w:p>
      <w:pPr>
        <w:spacing w:after="0" w:line="61" w:lineRule="exact"/>
        <w:rPr>
          <w:sz w:val="20"/>
          <w:szCs w:val="20"/>
          <w:color w:val="auto"/>
        </w:rPr>
      </w:pPr>
    </w:p>
    <w:p>
      <w:pPr>
        <w:ind w:right="120" w:firstLine="619"/>
        <w:spacing w:after="0" w:line="262" w:lineRule="auto"/>
        <w:rPr>
          <w:sz w:val="20"/>
          <w:szCs w:val="20"/>
          <w:color w:val="auto"/>
        </w:rPr>
      </w:pPr>
      <w:r>
        <w:rPr>
          <w:rFonts w:ascii="Times New Roman" w:cs="Times New Roman" w:eastAsia="Times New Roman" w:hAnsi="Times New Roman"/>
          <w:sz w:val="17"/>
          <w:szCs w:val="17"/>
          <w:color w:val="auto"/>
        </w:rPr>
        <w:t>Our arrangements with third-party payors, physicians, and other potential customers will subject us to broadly applicable fraud and abuse and other healthcare laws and regulations that may constrain the business or financial arrangements and relationships through which we market, sell and distribute any drug candidates for which we obtain marketing approval.</w:t>
      </w:r>
    </w:p>
    <w:p>
      <w:pPr>
        <w:spacing w:after="0" w:line="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Applicable U.S. federal and state and non-U.S. healthcare laws and regulations include the following:</w:t>
      </w:r>
    </w:p>
    <w:p>
      <w:pPr>
        <w:spacing w:after="0" w:line="101" w:lineRule="exact"/>
        <w:rPr>
          <w:sz w:val="20"/>
          <w:szCs w:val="20"/>
          <w:color w:val="auto"/>
        </w:rPr>
      </w:pPr>
    </w:p>
    <w:p>
      <w:pPr>
        <w:ind w:left="940" w:right="220" w:hanging="318"/>
        <w:spacing w:after="0" w:line="250" w:lineRule="auto"/>
        <w:tabs>
          <w:tab w:leader="none" w:pos="93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a criminal law, which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 order of any good or service for which payment may be made, in whole or in part, under federal healthcare programs such as Medicare and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w:t>
      </w:r>
    </w:p>
    <w:p>
      <w:pPr>
        <w:spacing w:after="0" w:line="200" w:lineRule="exact"/>
        <w:rPr>
          <w:sz w:val="20"/>
          <w:szCs w:val="20"/>
          <w:color w:val="auto"/>
        </w:rPr>
      </w:pPr>
    </w:p>
    <w:p>
      <w:pPr>
        <w:spacing w:after="0" w:line="34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120" w:hanging="318"/>
        <w:spacing w:after="0" w:line="248"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False Claims Act, which may be enforced through civil whistleblower or qui tam actions and imposes significant civil penalties, treble damages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There is also the federal Criminal False Claims Act, which is similar to the federal Civil False Claims Act and imposes criminal liability on those that make or present a false, fictitious or fraudulent claim to the federal government;</w:t>
      </w:r>
    </w:p>
    <w:p>
      <w:pPr>
        <w:spacing w:after="0" w:line="68" w:lineRule="exact"/>
        <w:rPr>
          <w:rFonts w:ascii="Times New Roman" w:cs="Times New Roman" w:eastAsia="Times New Roman" w:hAnsi="Times New Roman"/>
          <w:sz w:val="17"/>
          <w:szCs w:val="17"/>
          <w:color w:val="auto"/>
        </w:rPr>
      </w:pPr>
    </w:p>
    <w:p>
      <w:pPr>
        <w:ind w:left="940" w:right="100" w:hanging="318"/>
        <w:spacing w:after="0" w:line="253"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65" w:lineRule="exact"/>
        <w:rPr>
          <w:rFonts w:ascii="Times New Roman" w:cs="Times New Roman" w:eastAsia="Times New Roman" w:hAnsi="Times New Roman"/>
          <w:sz w:val="17"/>
          <w:szCs w:val="17"/>
          <w:color w:val="auto"/>
        </w:rPr>
      </w:pPr>
    </w:p>
    <w:p>
      <w:pPr>
        <w:ind w:left="940" w:hanging="318"/>
        <w:spacing w:after="0" w:line="254"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criminal statutes created by the Health Insurance Portability and Accountability Act (HIPAA), which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w:t>
      </w:r>
    </w:p>
    <w:p>
      <w:pPr>
        <w:spacing w:after="0" w:line="61" w:lineRule="exact"/>
        <w:rPr>
          <w:rFonts w:ascii="Times New Roman" w:cs="Times New Roman" w:eastAsia="Times New Roman" w:hAnsi="Times New Roman"/>
          <w:sz w:val="17"/>
          <w:szCs w:val="17"/>
          <w:color w:val="auto"/>
        </w:rPr>
      </w:pPr>
    </w:p>
    <w:p>
      <w:pPr>
        <w:ind w:left="940" w:right="80" w:hanging="318"/>
        <w:spacing w:after="0" w:line="262"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the Health Information Technology for Economic Clinical Health Act,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55"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Food, Drug, and Cosmetic Act and Public Health Service Act which among other things, strictly regulates drug marketing, prohibits manufacturers from marketing such products for off-label use or misbranding or adulterating their products, and regulates the distribution of samples;</w:t>
      </w:r>
    </w:p>
    <w:p>
      <w:pPr>
        <w:spacing w:after="0" w:line="35" w:lineRule="exact"/>
        <w:rPr>
          <w:rFonts w:ascii="Times New Roman" w:cs="Times New Roman" w:eastAsia="Times New Roman" w:hAnsi="Times New Roman"/>
          <w:sz w:val="17"/>
          <w:szCs w:val="17"/>
          <w:color w:val="auto"/>
        </w:rPr>
      </w:pPr>
    </w:p>
    <w:p>
      <w:pPr>
        <w:ind w:left="940" w:right="40" w:hanging="318"/>
        <w:spacing w:after="0" w:line="262"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and state laws that require pharmaceutical manufacturers to report certain calculated product pricing metrics to the government or provide certain discounts or rebates to government authorities or private entities, often as a condition of product coverage and reimbursement under federal healthcare programs;</w:t>
      </w:r>
    </w:p>
    <w:p>
      <w:pPr>
        <w:spacing w:after="0" w:line="55" w:lineRule="exact"/>
        <w:rPr>
          <w:rFonts w:ascii="Times New Roman" w:cs="Times New Roman" w:eastAsia="Times New Roman" w:hAnsi="Times New Roman"/>
          <w:sz w:val="17"/>
          <w:szCs w:val="17"/>
          <w:color w:val="auto"/>
        </w:rPr>
      </w:pPr>
    </w:p>
    <w:p>
      <w:pPr>
        <w:ind w:left="940" w:right="20" w:hanging="318"/>
        <w:spacing w:after="0" w:line="249"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Payment Sunshine Act, which requires applicable manufacturers of covered drugs, devices, biologics, and medical supplies for which payment is available under Medicare, Medicaid or the Children’s Health Insurance Program, among others, to annually track and report payments and other transfers of value provided to U.S.-licensed physicians, teaching hospitals, physician assistants, nurse practitioners, clinical nurse specialists, certified nurse anesthetists, anesthesiologist assistants and certified nurse-midwives, as well as certain ownership and investment interests held in the manufacturer by physicians and their immediate families;</w:t>
      </w:r>
    </w:p>
    <w:p>
      <w:pPr>
        <w:spacing w:after="0" w:line="81" w:lineRule="exact"/>
        <w:rPr>
          <w:rFonts w:ascii="Times New Roman" w:cs="Times New Roman" w:eastAsia="Times New Roman" w:hAnsi="Times New Roman"/>
          <w:sz w:val="17"/>
          <w:szCs w:val="17"/>
          <w:color w:val="auto"/>
        </w:rPr>
      </w:pPr>
    </w:p>
    <w:p>
      <w:pPr>
        <w:ind w:left="940" w:right="280" w:hanging="318"/>
        <w:spacing w:after="0" w:line="254"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laws and regulations, such as state anti-kickback and false claims laws, that may apply to our business practices, including sales or marketing arrangements and claims involving healthcare items or services reimbursed by non-governmental third-party payors, including private insurers;</w:t>
      </w:r>
    </w:p>
    <w:p>
      <w:pPr>
        <w:spacing w:after="0" w:line="75" w:lineRule="exact"/>
        <w:rPr>
          <w:rFonts w:ascii="Times New Roman" w:cs="Times New Roman" w:eastAsia="Times New Roman" w:hAnsi="Times New Roman"/>
          <w:sz w:val="17"/>
          <w:szCs w:val="17"/>
          <w:color w:val="auto"/>
        </w:rPr>
      </w:pPr>
    </w:p>
    <w:p>
      <w:pPr>
        <w:ind w:left="940" w:right="600" w:hanging="318"/>
        <w:spacing w:after="0" w:line="271"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laws that require pharmaceutical companies to comply with the pharmaceutical industry’s voluntary compliance guidelines and relevant compliance guidance promulgated by the federal government;</w:t>
      </w:r>
    </w:p>
    <w:p>
      <w:pPr>
        <w:spacing w:after="0" w:line="48" w:lineRule="exact"/>
        <w:rPr>
          <w:rFonts w:ascii="Times New Roman" w:cs="Times New Roman" w:eastAsia="Times New Roman" w:hAnsi="Times New Roman"/>
          <w:sz w:val="17"/>
          <w:szCs w:val="17"/>
          <w:color w:val="auto"/>
        </w:rPr>
      </w:pPr>
    </w:p>
    <w:p>
      <w:pPr>
        <w:ind w:left="940" w:right="240" w:hanging="318"/>
        <w:spacing w:after="0" w:line="271"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laws that require drug manufacturers to report information related to payments and other transfers of value to physicians and other healthcare providers or marketing expenditures;</w:t>
      </w:r>
    </w:p>
    <w:p>
      <w:pPr>
        <w:spacing w:after="0" w:line="61" w:lineRule="exact"/>
        <w:rPr>
          <w:rFonts w:ascii="Times New Roman" w:cs="Times New Roman" w:eastAsia="Times New Roman" w:hAnsi="Times New Roman"/>
          <w:sz w:val="17"/>
          <w:szCs w:val="17"/>
          <w:color w:val="auto"/>
        </w:rPr>
      </w:pPr>
    </w:p>
    <w:p>
      <w:pPr>
        <w:ind w:left="940" w:right="100" w:hanging="318"/>
        <w:spacing w:after="0" w:line="254"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and local laws that prohibit various marketing-related activities, such as the provision of certain kinds of gifts or meals; require the reporting of certain pricing information, including information pertaining to and justifying price increases, or prohibit prescription drug price gouging; impose payment caps on certain pharmaceutical products deemed by the state to be “high cost”; and require the registration of pharmaceutical sales representatives; and</w:t>
      </w:r>
    </w:p>
    <w:p>
      <w:pPr>
        <w:spacing w:after="0" w:line="61" w:lineRule="exact"/>
        <w:rPr>
          <w:rFonts w:ascii="Times New Roman" w:cs="Times New Roman" w:eastAsia="Times New Roman" w:hAnsi="Times New Roman"/>
          <w:sz w:val="17"/>
          <w:szCs w:val="17"/>
          <w:color w:val="auto"/>
        </w:rPr>
      </w:pPr>
    </w:p>
    <w:p>
      <w:pPr>
        <w:ind w:left="940" w:right="340" w:hanging="318"/>
        <w:spacing w:after="0" w:line="271"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200" w:lineRule="exact"/>
        <w:rPr>
          <w:sz w:val="20"/>
          <w:szCs w:val="20"/>
          <w:color w:val="auto"/>
        </w:rPr>
      </w:pPr>
    </w:p>
    <w:p>
      <w:pPr>
        <w:spacing w:after="0" w:line="3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 candidates from government-funded healthcare programs, such as Medicare and Medicaid, disgorgement, contractual damages, reputational harm, diminished profits and future earnings, and the curtailment or restructuring of our operations. If any physicians or other healthcare providers or entities with whom we expect to do business are found not to be in compliance with applicable laws, they may also be subject to criminal, civil or administrative sanctions, including exclusions from government-funded healthcare programs. Although effective compliance programs can mitigate the risk of investigation and prosecution for violations of these laws, these risks cannot be entirely eliminated. Any action for an alleged or suspected violation can cause us to incur significant legal expenses and divert management’s attention from the operation of the business, even if such action is successfully defended.</w:t>
      </w:r>
    </w:p>
    <w:p>
      <w:pPr>
        <w:spacing w:after="0" w:line="72"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Providing benefits or advantages to induce or reward improper performance generally to induce or encourage the prescription, recommendation, endorsement, purchase, supply, order or use of medicinal products is prohibited in the EU and the UK. The provision of benefits or advantages to induce or reward improper performance is governed by the national anti-bribery laws of EU Member States, and in respect of the UK, the UK Bribery Act 2010 (Bribery Act). Infringement of these laws may result in substantial fines and imprisonment. EU Directive 2001/83/EC, which is the EU Directive governing medicinal products for human use, provides that, where medicinal products are being promoted to healthcare professionals, no gifts, pecuniary advantages or benefits in kind may be supplied, offered or promised to such individuals unless they are inexpensive and relevant to the practice of medicine or pharmacy. This provision was transposed into the Human Medicines Regulations 2012 and as such remains applicable in the UK.</w:t>
      </w:r>
    </w:p>
    <w:p>
      <w:pPr>
        <w:spacing w:after="0" w:line="81"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Payments made to physicians in certain EU Member States must be publicly disclosed. In addition, agreements with healthcare professionals must often be the subject of prior notification and approval by the healthcare professional’s employer, his or her competent professional organization and/or the regulatory authorities of individual EU Member States. These requirements are set out in national laws, industry codes or professional codes of conduct, applicable in the EU Member States and in the UK. Failure to comply with these requirements could result in reputational risk, public reprimands, administrative penalties, fines or imprisonment.</w:t>
      </w:r>
    </w:p>
    <w:p>
      <w:pPr>
        <w:spacing w:after="0" w:line="166"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FDA’s and other regulatory authorities’ policies may change, and additional government regulations may be enacted that could prevent, limit or delay regulatory approval of our drug candidates.</w:t>
      </w:r>
    </w:p>
    <w:p>
      <w:pPr>
        <w:spacing w:after="0" w:line="43" w:lineRule="exact"/>
        <w:rPr>
          <w:sz w:val="20"/>
          <w:szCs w:val="20"/>
          <w:color w:val="auto"/>
        </w:rPr>
      </w:pPr>
    </w:p>
    <w:p>
      <w:pPr>
        <w:ind w:right="20" w:firstLine="619"/>
        <w:spacing w:after="0" w:line="253" w:lineRule="auto"/>
        <w:rPr>
          <w:sz w:val="20"/>
          <w:szCs w:val="20"/>
          <w:color w:val="auto"/>
        </w:rPr>
      </w:pPr>
      <w:r>
        <w:rPr>
          <w:rFonts w:ascii="Times New Roman" w:cs="Times New Roman" w:eastAsia="Times New Roman" w:hAnsi="Times New Roman"/>
          <w:sz w:val="17"/>
          <w:szCs w:val="17"/>
          <w:color w:val="auto"/>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w:t>
      </w:r>
    </w:p>
    <w:p>
      <w:pPr>
        <w:spacing w:after="0" w:line="163"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Current and future legislation may increase the difficulty and cost for us, and any collaborators, to obtain marketing approval of and commercialize our drug candidates and affect the prices we, or they, may obtain.</w:t>
      </w:r>
    </w:p>
    <w:p>
      <w:pPr>
        <w:spacing w:after="0" w:line="43" w:lineRule="exact"/>
        <w:rPr>
          <w:sz w:val="20"/>
          <w:szCs w:val="20"/>
          <w:color w:val="auto"/>
        </w:rPr>
      </w:pPr>
    </w:p>
    <w:p>
      <w:pPr>
        <w:ind w:right="200" w:firstLine="619"/>
        <w:spacing w:after="0" w:line="249" w:lineRule="auto"/>
        <w:rPr>
          <w:sz w:val="20"/>
          <w:szCs w:val="20"/>
          <w:color w:val="auto"/>
        </w:rPr>
      </w:pPr>
      <w:r>
        <w:rPr>
          <w:rFonts w:ascii="Times New Roman" w:cs="Times New Roman" w:eastAsia="Times New Roman" w:hAnsi="Times New Roman"/>
          <w:sz w:val="17"/>
          <w:szCs w:val="17"/>
          <w:color w:val="auto"/>
        </w:rPr>
        <w:t>In the United States and some foreign jurisdictions, there have been a number of legislative and regulatory changes and proposed changes regarding the healthcare system that could prevent or delay marketing approval of our drug candidates, restrict or regulate post-approval activities and affect our ability to profitably sell any drug candidates for which we obtain marketing approval. The biopharmaceutical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FDA-approved product.</w:t>
      </w:r>
    </w:p>
    <w:p>
      <w:pPr>
        <w:spacing w:after="0" w:line="82"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Healthcare reform measures that may be adopted in the future may result in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To date, there have been several U.S. congressional inquiries and proposed and enacted state and federal legislation and regulations designed to, among other things, bring more transparency to drug pricing, review the relationship between pricing and manufacturer patient support programs, reduce the costs of drugs under Medicare and reform government program reimbursement methodologies for drug products. Most notably, the Inflation Reduction Act (IRA), which was signed into law on August 16, 2022, allows Medicare to: beginning in 2026, establish a “maximum fair price” for a fixed number of pharmaceutical and biological products covered under Medicare Parts B and D following a price negotiation process with the Centers for Medicare and Medicaid Services (CMS); and, beginning in 2023, penalize drug companies that raise prices for products covered under Medicare Parts B and D faster than inflation, among other reforms. CMS has recently taken steps to implement the IRA, including:</w:t>
      </w:r>
    </w:p>
    <w:p>
      <w:pPr>
        <w:spacing w:after="0" w:line="69" w:lineRule="exact"/>
        <w:rPr>
          <w:sz w:val="20"/>
          <w:szCs w:val="20"/>
          <w:color w:val="auto"/>
        </w:rPr>
      </w:pPr>
    </w:p>
    <w:p>
      <w:pPr>
        <w:ind w:left="920" w:hanging="298"/>
        <w:spacing w:after="0"/>
        <w:tabs>
          <w:tab w:leader="none" w:pos="9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29, 2023, releasing the initial list of 10 drugs subject to price negotiations;</w:t>
      </w:r>
    </w:p>
    <w:p>
      <w:pPr>
        <w:spacing w:after="0" w:line="113" w:lineRule="exact"/>
        <w:rPr>
          <w:rFonts w:ascii="Times New Roman" w:cs="Times New Roman" w:eastAsia="Times New Roman" w:hAnsi="Times New Roman"/>
          <w:sz w:val="17"/>
          <w:szCs w:val="17"/>
          <w:color w:val="auto"/>
        </w:rPr>
      </w:pPr>
    </w:p>
    <w:p>
      <w:pPr>
        <w:ind w:left="940" w:right="460" w:hanging="318"/>
        <w:spacing w:after="0" w:line="271" w:lineRule="auto"/>
        <w:tabs>
          <w:tab w:leader="none" w:pos="93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November 17, 2023, releasing guidance outlining the methodology for identifying certain manufacturers eligible to participate in a phase-in period where discounts on applicable products will be lower than those required by the Medicare Part D Manufacturer Discount Program;</w:t>
      </w:r>
    </w:p>
    <w:p>
      <w:pPr>
        <w:spacing w:after="0" w:line="48" w:lineRule="exact"/>
        <w:rPr>
          <w:rFonts w:ascii="Times New Roman" w:cs="Times New Roman" w:eastAsia="Times New Roman" w:hAnsi="Times New Roman"/>
          <w:sz w:val="17"/>
          <w:szCs w:val="17"/>
          <w:color w:val="auto"/>
        </w:rPr>
      </w:pPr>
    </w:p>
    <w:p>
      <w:pPr>
        <w:ind w:left="940" w:right="100" w:hanging="318"/>
        <w:spacing w:after="0" w:line="287" w:lineRule="auto"/>
        <w:tabs>
          <w:tab w:leader="none" w:pos="93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26, 2024, releasing a list of 41 Medicare Part B products that had adjusted coinsurance rates based on the inflationary rebate provisions of the IRA for the time period of April 1, 2024, to June 30, 2024;</w:t>
      </w:r>
    </w:p>
    <w:p>
      <w:pPr>
        <w:spacing w:after="0" w:line="3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1, 2024, releasing final program instructions on the redesigned Medicare Part D benefit for 2025; and</w:t>
      </w:r>
    </w:p>
    <w:p>
      <w:pPr>
        <w:spacing w:after="0" w:line="101" w:lineRule="exact"/>
        <w:rPr>
          <w:rFonts w:ascii="Times New Roman" w:cs="Times New Roman" w:eastAsia="Times New Roman" w:hAnsi="Times New Roman"/>
          <w:sz w:val="17"/>
          <w:szCs w:val="17"/>
          <w:color w:val="auto"/>
        </w:rPr>
      </w:pPr>
    </w:p>
    <w:p>
      <w:pPr>
        <w:ind w:left="940" w:right="480" w:hanging="318"/>
        <w:spacing w:after="0" w:line="287" w:lineRule="auto"/>
        <w:tabs>
          <w:tab w:leader="none" w:pos="93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3, 2024, issuing guidance on the requirements and parameters of the second round of price negotiations, to take place during 2025, for products subject to the “maximum fair price” provision in 2027.</w:t>
      </w:r>
    </w:p>
    <w:p>
      <w:pPr>
        <w:spacing w:after="0" w:line="35" w:lineRule="exact"/>
        <w:rPr>
          <w:sz w:val="20"/>
          <w:szCs w:val="20"/>
          <w:color w:val="auto"/>
        </w:rPr>
      </w:pPr>
    </w:p>
    <w:p>
      <w:pPr>
        <w:ind w:right="260" w:firstLine="619"/>
        <w:spacing w:after="0" w:line="271" w:lineRule="auto"/>
        <w:rPr>
          <w:sz w:val="20"/>
          <w:szCs w:val="20"/>
          <w:color w:val="auto"/>
        </w:rPr>
      </w:pPr>
      <w:r>
        <w:rPr>
          <w:rFonts w:ascii="Times New Roman" w:cs="Times New Roman" w:eastAsia="Times New Roman" w:hAnsi="Times New Roman"/>
          <w:sz w:val="17"/>
          <w:szCs w:val="17"/>
          <w:color w:val="auto"/>
        </w:rPr>
        <w:t>It is unclear how future regulatory actions to implement the IRA, as well as the outcome of pending litigation against the IRA, may affect our products and future profitability.</w:t>
      </w:r>
    </w:p>
    <w:p>
      <w:pPr>
        <w:spacing w:after="0" w:line="61"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On October 14, 2022, President Biden issued an Executive Order on Lowering Prescription Drug Costs for Americans, which instructed the Secretary of the Department of Health and Human Services (HHS) to consider whether to select for testing by the CMS Innovation Center new health care payment and delivery models that would lower drug costs and promote access to innovative drug therapies for beneficiaries enrolled in the Medicare and Medicaid programs. On February 14, 2023, the HHS issued a report in response to the October 14, 2022 Executive Order, which, among other things, selects three potential drug affordability and accessibility models to be tested by the CMS Innovation Center. Specifically, the report addresses: (1) a model that would allow Part D Sponsors to establish a “high-value drug list” setting the maximum co-payment amount for certain common generic drugs at $2; (2) a Medicaid-focused model that would establish a partnership between CMS, manufacturers, and state Medicaid agencies that would result in multi-state outcomes-based agreements or certain cell and gene therapy drugs; and (3) a model that would adjust Medicare Part B payment amounts for Accelerated Approval Program drugs to advance the developments of novel treatments.</w:t>
      </w:r>
    </w:p>
    <w:p>
      <w:pPr>
        <w:spacing w:after="0" w:line="86" w:lineRule="exact"/>
        <w:rPr>
          <w:sz w:val="20"/>
          <w:szCs w:val="20"/>
          <w:color w:val="auto"/>
        </w:rPr>
      </w:pPr>
    </w:p>
    <w:p>
      <w:pPr>
        <w:ind w:right="40" w:firstLine="619"/>
        <w:spacing w:after="0" w:line="271" w:lineRule="auto"/>
        <w:rPr>
          <w:sz w:val="20"/>
          <w:szCs w:val="20"/>
          <w:color w:val="auto"/>
        </w:rPr>
      </w:pPr>
      <w:r>
        <w:rPr>
          <w:rFonts w:ascii="Times New Roman" w:cs="Times New Roman" w:eastAsia="Times New Roman" w:hAnsi="Times New Roman"/>
          <w:sz w:val="17"/>
          <w:szCs w:val="17"/>
          <w:color w:val="auto"/>
        </w:rPr>
        <w:t>We cannot be sure what impact, if any, the foregoing changes will have on the profitability of any of our drug candidates, if approved for commercial use, in the future.</w:t>
      </w:r>
    </w:p>
    <w:p>
      <w:pPr>
        <w:spacing w:after="0" w:line="48" w:lineRule="exact"/>
        <w:rPr>
          <w:sz w:val="20"/>
          <w:szCs w:val="20"/>
          <w:color w:val="auto"/>
        </w:rPr>
      </w:pPr>
    </w:p>
    <w:p>
      <w:pPr>
        <w:ind w:right="20" w:firstLine="619"/>
        <w:spacing w:after="0" w:line="248" w:lineRule="auto"/>
        <w:rPr>
          <w:sz w:val="20"/>
          <w:szCs w:val="20"/>
          <w:color w:val="auto"/>
        </w:rPr>
      </w:pPr>
      <w:r>
        <w:rPr>
          <w:rFonts w:ascii="Times New Roman" w:cs="Times New Roman" w:eastAsia="Times New Roman" w:hAnsi="Times New Roman"/>
          <w:sz w:val="17"/>
          <w:szCs w:val="17"/>
          <w:color w:val="auto"/>
        </w:rPr>
        <w:t>At the state level, individual states are increasingly aggressive in passing legislation and implementing regulations designed to control pharmaceutical and biological product pricing. These include legislation and regulations regarding price or patient reimbursement constraints, discounts, restrictions on certain product access and marketing cost disclosure and transparency measures, and, in some cases, legislative action designed to encourage importation from other countries and bulk purchasing. For example, on January 5, 2024, the FDA approved Florida’s importation plan, which allows pharmacists and wholesalers to import certain products from Canada.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69" w:lineRule="exact"/>
        <w:rPr>
          <w:sz w:val="20"/>
          <w:szCs w:val="20"/>
          <w:color w:val="auto"/>
        </w:rPr>
      </w:pPr>
    </w:p>
    <w:p>
      <w:pPr>
        <w:ind w:right="60" w:firstLine="619"/>
        <w:spacing w:after="0" w:line="253" w:lineRule="auto"/>
        <w:rPr>
          <w:sz w:val="20"/>
          <w:szCs w:val="20"/>
          <w:color w:val="auto"/>
        </w:rPr>
      </w:pPr>
      <w:r>
        <w:rPr>
          <w:rFonts w:ascii="Times New Roman" w:cs="Times New Roman" w:eastAsia="Times New Roman" w:hAnsi="Times New Roman"/>
          <w:sz w:val="17"/>
          <w:szCs w:val="17"/>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drug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200" w:lineRule="exact"/>
        <w:rPr>
          <w:sz w:val="20"/>
          <w:szCs w:val="20"/>
          <w:color w:val="auto"/>
        </w:rPr>
      </w:pPr>
    </w:p>
    <w:p>
      <w:pPr>
        <w:spacing w:after="0" w:line="34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Governments outside of the United States tend to impose strict price controls, which may adversely affect our revenues from the sales of drugs, if any.</w:t>
      </w:r>
    </w:p>
    <w:p>
      <w:pPr>
        <w:spacing w:after="0" w:line="120"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color w:val="auto"/>
        </w:rPr>
        <w:t>In some countries, particularly the countries of the EU and the UK,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or our collaborators, may be required to conduct a clinical trial that compares the cost-effectiveness of our drug to other available therapies. Furthermore, in some European countries, the authorities conduct an HTA to assess the cost-effectiveness of the product (in the UK that HTA assessment is conducted by the National Institute for Health and Care Excellence), which may significantly impact effective access to the market. If reimbursement of our drugs is unavailable or limited in scope or amount, or if pricing is set at unsatisfactory levels, our business could be materially harmed.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Employees, Managing our Growth and Other Legal Matters</w:t>
      </w:r>
    </w:p>
    <w:p>
      <w:pPr>
        <w:spacing w:after="0" w:line="112"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43" w:lineRule="exact"/>
        <w:rPr>
          <w:sz w:val="20"/>
          <w:szCs w:val="20"/>
          <w:color w:val="auto"/>
        </w:rPr>
      </w:pPr>
    </w:p>
    <w:p>
      <w:pPr>
        <w:ind w:right="60" w:firstLine="619"/>
        <w:spacing w:after="0" w:line="248" w:lineRule="auto"/>
        <w:rPr>
          <w:sz w:val="20"/>
          <w:szCs w:val="20"/>
          <w:color w:val="auto"/>
        </w:rPr>
      </w:pPr>
      <w:r>
        <w:rPr>
          <w:rFonts w:ascii="Times New Roman" w:cs="Times New Roman" w:eastAsia="Times New Roman" w:hAnsi="Times New Roman"/>
          <w:sz w:val="17"/>
          <w:szCs w:val="17"/>
          <w:color w:val="auto"/>
        </w:rPr>
        <w:t>Our ability to compete in the highly competitive biopharmaceuticals industry depends upon our ability to attract and retain highly qualified managerial, scientific, medical, sales and marketing and other personnel. We are highly dependent on our management and scientific personnel, including our President and Chief Executive Officer, Arthur T. Sands, M.D., Ph.D., and Chief Scientific Officer, Gwenn Hansen, Ph.D. The loss of the services of Dr. Sands, Dr. Hansen or other members of our senior leadership team could impede, delay or prevent the successful development of our product pipeline, completion of our current and planned clinical trials, commercialization of our products or in-licensing or acquisition of new assets, and could negatively impact our ability to successfully implement our business plan. If we lose the services of such individuals, we might not be able to find suitable replacements on a timely basis or at all, and our business could be harmed as a result. We do not maintain “key man” insurance policies on the lives of these individuals or the lives of any of our other employees.</w:t>
      </w:r>
    </w:p>
    <w:p>
      <w:pPr>
        <w:spacing w:after="0" w:line="69" w:lineRule="exact"/>
        <w:rPr>
          <w:sz w:val="20"/>
          <w:szCs w:val="20"/>
          <w:color w:val="auto"/>
        </w:rPr>
      </w:pPr>
    </w:p>
    <w:p>
      <w:pPr>
        <w:ind w:right="100" w:firstLine="619"/>
        <w:spacing w:after="0" w:line="254" w:lineRule="auto"/>
        <w:rPr>
          <w:sz w:val="20"/>
          <w:szCs w:val="20"/>
          <w:color w:val="auto"/>
        </w:rPr>
      </w:pPr>
      <w:r>
        <w:rPr>
          <w:rFonts w:ascii="Times New Roman" w:cs="Times New Roman" w:eastAsia="Times New Roman" w:hAnsi="Times New Roman"/>
          <w:sz w:val="17"/>
          <w:szCs w:val="17"/>
          <w:color w:val="auto"/>
        </w:rPr>
        <w:t>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and restricted stock units (RSUs) that vest over time. The value to employees of stock options and RSUs that vest over time will be significantly affected by movements in our stock price that are beyond our control and may at any time be insufficient to counteract offers from other companies.</w:t>
      </w:r>
    </w:p>
    <w:p>
      <w:pPr>
        <w:spacing w:after="0" w:line="75"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We could have difficulty attracting experienced personnel to our company and may be required to expend significant financial resources in our employee recruitment and retention efforts. Many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unable to attract and retain the necessary personnel to accomplish our business objectives, we may experience constraints that will harm our ability to implement our business strategy and achieve our business objectives.</w:t>
      </w:r>
    </w:p>
    <w:p>
      <w:pPr>
        <w:spacing w:after="0" w:line="69" w:lineRule="exact"/>
        <w:rPr>
          <w:sz w:val="20"/>
          <w:szCs w:val="20"/>
          <w:color w:val="auto"/>
        </w:rPr>
      </w:pPr>
    </w:p>
    <w:p>
      <w:pPr>
        <w:ind w:right="240" w:firstLine="619"/>
        <w:spacing w:after="0" w:line="262" w:lineRule="auto"/>
        <w:rPr>
          <w:sz w:val="20"/>
          <w:szCs w:val="20"/>
          <w:color w:val="auto"/>
        </w:rPr>
      </w:pPr>
      <w:r>
        <w:rPr>
          <w:rFonts w:ascii="Times New Roman" w:cs="Times New Roman" w:eastAsia="Times New Roman" w:hAnsi="Times New Roman"/>
          <w:sz w:val="17"/>
          <w:szCs w:val="17"/>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200" w:lineRule="exact"/>
        <w:rPr>
          <w:sz w:val="20"/>
          <w:szCs w:val="20"/>
          <w:color w:val="auto"/>
        </w:rPr>
      </w:pPr>
    </w:p>
    <w:p>
      <w:pPr>
        <w:spacing w:after="0" w:line="3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will need to grow our organization, and we may experience difficulties in managing this growth, which could disrupt our operations.</w:t>
      </w:r>
    </w:p>
    <w:p>
      <w:pPr>
        <w:spacing w:after="0" w:line="120"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As our development and commercialization plans and strategies develop, and as we continue our transition into operating as a public company, we expect to expand our employee base for managerial, operational, financial and other resources. In addition, we have limited experience in product development. We filed our first IND in December 2020 and currently have three drug candidates in ongoing Phase 1 trials. As our drug candidates enter and advance through preclinical studies and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have a material and adverse effect on our business, financial condition, results of operations and prospects.</w:t>
      </w:r>
    </w:p>
    <w:p>
      <w:pPr>
        <w:spacing w:after="0" w:line="169" w:lineRule="exact"/>
        <w:rPr>
          <w:sz w:val="20"/>
          <w:szCs w:val="20"/>
          <w:color w:val="auto"/>
        </w:rPr>
      </w:pPr>
    </w:p>
    <w:p>
      <w:pPr>
        <w:ind w:right="4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43" w:lineRule="exact"/>
        <w:rPr>
          <w:sz w:val="20"/>
          <w:szCs w:val="20"/>
          <w:color w:val="auto"/>
        </w:rPr>
      </w:pPr>
    </w:p>
    <w:p>
      <w:pPr>
        <w:ind w:firstLine="619"/>
        <w:spacing w:after="0" w:line="271" w:lineRule="auto"/>
        <w:rPr>
          <w:sz w:val="20"/>
          <w:szCs w:val="20"/>
          <w:color w:val="auto"/>
        </w:rPr>
      </w:pPr>
      <w:r>
        <w:rPr>
          <w:rFonts w:ascii="Times New Roman" w:cs="Times New Roman" w:eastAsia="Times New Roman" w:hAnsi="Times New Roman"/>
          <w:sz w:val="17"/>
          <w:szCs w:val="17"/>
          <w:color w:val="auto"/>
        </w:rPr>
        <w:t>We are exposed to the risk that our employees, independent contractors, vendors, principal investigators, CROs and consultants may engage in fraudulent conduct or other illegal activity. Misconduct by these parties could include:</w:t>
      </w:r>
    </w:p>
    <w:p>
      <w:pPr>
        <w:spacing w:after="0" w:line="61" w:lineRule="exact"/>
        <w:rPr>
          <w:sz w:val="20"/>
          <w:szCs w:val="20"/>
          <w:color w:val="auto"/>
        </w:rPr>
      </w:pPr>
    </w:p>
    <w:p>
      <w:pPr>
        <w:ind w:left="940" w:right="400" w:hanging="318"/>
        <w:spacing w:after="0" w:line="271" w:lineRule="auto"/>
        <w:tabs>
          <w:tab w:leader="none" w:pos="93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intentional, reckless or negligent conduct or disclosure to us of unauthorized activities that violate the regulations of the FDA or similar foreign regulatory authorities;</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healthcare fraud and abuse in violation of U.S. and foreign laws and regulations;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violations of U.S. federal securities laws relating to trading in our common stock; and</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failures to report financial information or data accurately.</w:t>
      </w:r>
    </w:p>
    <w:p>
      <w:pPr>
        <w:spacing w:after="0" w:line="101"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17"/>
          <w:szCs w:val="17"/>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While we have adopted a code of conduct and implemented other internal controls applicable to all of our employees, it is not always possible to identify and deter misconduct by employees and other third parties, and the precautions we take to detect and prevent this activity may not be effective.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possible exclusion from participation in Medicare, Medicaid and other federal healthcare programs and diminished profits and future earnings, any of which could adversely affect our ability to operate our business or cause reputational harm.</w:t>
      </w:r>
    </w:p>
    <w:p>
      <w:pPr>
        <w:spacing w:after="0" w:line="169"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depend on our information technology systems, and any failure of these systems, or those of our CROs, third-party vendors, collaborators or other contractors or consultants we may utilize, could harm our business. Security breaches, cyber-attacks, loss of data and other disruptions could compromise sensitive information related to our business or other personal information, prevent us from accessing critical information and expose us to liability, which could adversely affect our business, reputation, results of operations, financial condition and prospects.</w:t>
      </w:r>
    </w:p>
    <w:p>
      <w:pPr>
        <w:spacing w:after="0" w:line="64"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17"/>
          <w:szCs w:val="17"/>
          <w:color w:val="auto"/>
        </w:rPr>
        <w:t>We collect and maintain information in digital form that is necessary to conduct our business, and we are increasingly dependent on information technology systems, infrastructure and data to operate our business. In the ordinary course of our business, we collect, store and transmit large amounts of confidential information, including but not limited to intellectual property, proprietary business information and personal information. It is critical that we do so in a secure manner to maintain the confidentiality, integrity and availability of such confidential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resulting in a number of third-party vendors that may or could have access to our confidential information.</w:t>
      </w:r>
    </w:p>
    <w:p>
      <w:pPr>
        <w:spacing w:after="0" w:line="200" w:lineRule="exact"/>
        <w:rPr>
          <w:sz w:val="20"/>
          <w:szCs w:val="20"/>
          <w:color w:val="auto"/>
        </w:rPr>
      </w:pPr>
    </w:p>
    <w:p>
      <w:pPr>
        <w:spacing w:after="0" w:line="34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20" w:firstLine="619"/>
        <w:spacing w:after="0" w:line="248" w:lineRule="auto"/>
        <w:rPr>
          <w:sz w:val="20"/>
          <w:szCs w:val="20"/>
          <w:color w:val="auto"/>
        </w:rPr>
      </w:pPr>
      <w:r>
        <w:rPr>
          <w:rFonts w:ascii="Times New Roman" w:cs="Times New Roman" w:eastAsia="Times New Roman" w:hAnsi="Times New Roman"/>
          <w:sz w:val="17"/>
          <w:szCs w:val="17"/>
          <w:color w:val="auto"/>
        </w:rPr>
        <w:t>Despite the implementation of security measures, our internal information technology systems and infrastructure, and those of our current and any future CROs, collaborators, contractors and consultants and other third parties on which we rely, are vulnerable to breach, breakdown or other damage or interruption from service interruptions, system malfunction, computer viruses, malware, natural disasters, terrorism, war, telecommunication and electrical failures, cyber-attacks or cyber-intrusions over the Internet (including harmful attachments to emails, ransomware, denial-of-service attacks, social engineering, and other means to affect service reliability and threaten the confidentiality, integrity, and availability of information), persons inside our organization, or persons with access to systems inside our organization. Any of the foregoing may compromise or lead to data leakage of our system infrastructure, or that of our CROs, third-party vendors and other contractors and consultants.</w:t>
      </w:r>
    </w:p>
    <w:p>
      <w:pPr>
        <w:spacing w:after="0" w:line="69"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 addition, the prevalent use of mobile devices and remote work applications that access confidential information increases the risk of data security breaches, which could lead to the loss of confidential information or other intellectual property or unauthorized access to personal information. To the extent that any disruption or security breach were to result in a loss of, or damage to, our data or applications, or those of our third-party vendors, CROs and other contractors and consultants, or inappropriate disclosure of confidential, personal or proprietary information, we could incur liability and reputational damage and the further development and commercialization of our drug candidates could be delayed. The costs to us to mitigate network security problems, bugs, viruses, worms, malicious software programs and security vulnerabilities could be material, and although we have and continue to invest in and implement security measures designed to protect our data security and information technology systems, our efforts to address these problems may not be successful, and these problems could result in unexpected interruptions, delays, cessation of service and other harm to our business and our competitive position. If the information technology systems of our third-party vendors, CROs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75"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We and our third-party service providers regularly defend against and respond to data security incidents, and we cannot assure you that our data protection efforts and our investment in information technology will prevent significant breakdowns, data leakages, breaches in our systems, or those of our third-party vendors, CROs and other contractors and consultants, or other cyber incidents that could have a material adverse effect upon our reputation, business, operations, or financial condition. If such an event were to occur that causes interruptions in our operations, or those of our third-party vendors, CROs and other contractors and consultants, it could result in a material disruption or delay of our product development programs. For example, the loss of clinical trial data from completed, ongoing or planned clinical trials could result in delays in our regulatory approval efforts and significantly increase our costs to recover or reproduce the data.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If any such event, including a computer security breach, results in the unauthorized access, use or release of personal information, our reputation could be materially damaged. In addition, such a breach may require notification to governmental agencies, the media or individuals pursuant to various federal and state data privacy and security laws (and other similar non-U.S. laws), subject us to mandatory corrective action, and otherwise subject us to liability under laws and regulations that protect the privacy and security of personal information. For example, data breaches frequently result in regulatory actions and commercial and class action litigation based on a variety of laws and legal duties, such as the California Consumer Privacy Act (CCPA), which provides for a private right of action in the event of certain data security breaches. Additionally, the SEC also adopted a new cybersecurity rule requiring companies subject to SEC reporting requirements to formally report material cybersecurity incidents, where failure to report may result in regulatory investigations leading to consent orders that may require additional compliance obligations and/or injunctions, fines and other penalties. Such actions could result in significant legal and financial exposure and reputational damages that could have a material adverse effect on our business, financial condition, results of operations and prospects.</w:t>
      </w:r>
    </w:p>
    <w:p>
      <w:pPr>
        <w:spacing w:after="0" w:line="277" w:lineRule="exact"/>
        <w:rPr>
          <w:sz w:val="20"/>
          <w:szCs w:val="20"/>
          <w:color w:val="auto"/>
        </w:rPr>
      </w:pPr>
    </w:p>
    <w:p>
      <w:pPr>
        <w:ind w:right="80" w:firstLine="619"/>
        <w:spacing w:after="0" w:line="253" w:lineRule="auto"/>
        <w:rPr>
          <w:sz w:val="20"/>
          <w:szCs w:val="20"/>
          <w:color w:val="auto"/>
        </w:rPr>
      </w:pPr>
      <w:r>
        <w:rPr>
          <w:rFonts w:ascii="Times New Roman" w:cs="Times New Roman" w:eastAsia="Times New Roman" w:hAnsi="Times New Roman"/>
          <w:sz w:val="17"/>
          <w:szCs w:val="17"/>
          <w:color w:val="auto"/>
        </w:rPr>
        <w:t>Currently, we carry business interruption coverage and cybersecurity insurance to mitigate certain potential losses, but this insurance is limited in amount and may not be sufficient in type or amount to cover us against claims related to a cybersecurity breach and related business and system disruptions. We cannot be certain that such potential losses will not exceed our policy limits, insurance will continue to be available to us on economically reasonable terms, or at all, or any insurer will not deny coverage as to any future claim. In addition, we may be subject to changes in our insurance policies, including premium increases or the imposition of large deductible or co-insurance requirements.</w:t>
      </w:r>
    </w:p>
    <w:p>
      <w:pPr>
        <w:spacing w:after="0" w:line="200" w:lineRule="exact"/>
        <w:rPr>
          <w:sz w:val="20"/>
          <w:szCs w:val="20"/>
          <w:color w:val="auto"/>
        </w:rPr>
      </w:pPr>
    </w:p>
    <w:p>
      <w:pPr>
        <w:spacing w:after="0" w:line="34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obtain and process a large amount of proprietary and sensitive data. Any real or perceived improper use of, disclosure of, or access to such data could harm our reputation, as well as have an adverse effect on our business.</w:t>
      </w:r>
    </w:p>
    <w:p>
      <w:pPr>
        <w:spacing w:after="0" w:line="43" w:lineRule="exact"/>
        <w:rPr>
          <w:sz w:val="20"/>
          <w:szCs w:val="20"/>
          <w:color w:val="auto"/>
        </w:rPr>
      </w:pPr>
    </w:p>
    <w:p>
      <w:pPr>
        <w:ind w:right="160" w:firstLine="619"/>
        <w:spacing w:after="0" w:line="262" w:lineRule="auto"/>
        <w:rPr>
          <w:sz w:val="20"/>
          <w:szCs w:val="20"/>
          <w:color w:val="auto"/>
        </w:rPr>
      </w:pPr>
      <w:r>
        <w:rPr>
          <w:rFonts w:ascii="Times New Roman" w:cs="Times New Roman" w:eastAsia="Times New Roman" w:hAnsi="Times New Roman"/>
          <w:sz w:val="17"/>
          <w:szCs w:val="17"/>
          <w:color w:val="auto"/>
        </w:rPr>
        <w:t>We maintain and process, and our third-party vendors, collaborators, contractors and consultants maintain and process on our behalf, a large quantity of proprietary and sensitive information, including confidential business information, personal and patient health information in connection with our preclinical studies and clinical trials and personal information of our employees.</w:t>
      </w:r>
    </w:p>
    <w:p>
      <w:pPr>
        <w:spacing w:after="0" w:line="56"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17"/>
          <w:szCs w:val="17"/>
          <w:color w:val="auto"/>
        </w:rPr>
        <w:t>There is a risk that we could be impacted by a cybersecurity incident that results in loss or unauthorized disclosure of this proprietary and sensitive information, potentially resulting in harm to our reputation and financial losses. Depending on the nature of the information compromised, in the event of a data breach or other unauthorized access to our customer data, we may also have obligations to notify customers and regulators about the incident, and we may need to provide some form of remedy, such as a subscription to credit monitoring services, pay significant fines to one or more regulators, or pay compensation in connection with a class-action settlement. Such breach notification laws continue to evolve and may be inconsistent from one jurisdiction to another. In the United States, the SEC has adopted rules for mandatory disclosure of cybersecurity incidents suffered by public companies, as well as cybersecurity governance and risk management. Complying with these obligations could cause us to incur substantial costs and could increase negative publicity surrounding any incident that compromises customer data.</w:t>
      </w:r>
    </w:p>
    <w:p>
      <w:pPr>
        <w:spacing w:after="0" w:line="86" w:lineRule="exact"/>
        <w:rPr>
          <w:sz w:val="20"/>
          <w:szCs w:val="20"/>
          <w:color w:val="auto"/>
        </w:rPr>
      </w:pPr>
    </w:p>
    <w:p>
      <w:pPr>
        <w:ind w:right="160" w:firstLine="619"/>
        <w:spacing w:after="0" w:line="249" w:lineRule="auto"/>
        <w:rPr>
          <w:sz w:val="20"/>
          <w:szCs w:val="20"/>
          <w:color w:val="auto"/>
        </w:rPr>
      </w:pPr>
      <w:r>
        <w:rPr>
          <w:rFonts w:ascii="Times New Roman" w:cs="Times New Roman" w:eastAsia="Times New Roman" w:hAnsi="Times New Roman"/>
          <w:sz w:val="17"/>
          <w:szCs w:val="17"/>
          <w:color w:val="auto"/>
        </w:rPr>
        <w:t>Any failure or perceived failure by us to comply with these laws may also subject us to enforcement action or litigation, any of which could harm our business. Additionally, the financial exposure from the events referenced above could either not be insured against or not be fully covered through any insurance that we may maintain, and there can be no assurance that the limitations of liability in any of our contracts would be enforceable or adequate or would otherwise protect us from liabilities or damages as a result of the events referenced above. Any of the foregoing could have an adverse effect on our business, reputation, operating results, and financial condition.</w:t>
      </w:r>
    </w:p>
    <w:p>
      <w:pPr>
        <w:spacing w:after="0" w:line="166"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are or may become subject to a variety of stringent privacy and data security laws, regulations, policies and contractual obligations related to data privacy and security, and changes in such laws, regulations, policies and contractual obligations and our failure, or any failure by our third-party vendors, collaborators, contractors or consultants, to comply with them could harm our business and result in enforcement action by regulators and claims from affected individuals.</w:t>
      </w:r>
    </w:p>
    <w:p>
      <w:pPr>
        <w:spacing w:after="0" w:line="64" w:lineRule="exact"/>
        <w:rPr>
          <w:sz w:val="20"/>
          <w:szCs w:val="20"/>
          <w:color w:val="auto"/>
        </w:rPr>
      </w:pPr>
    </w:p>
    <w:p>
      <w:pPr>
        <w:ind w:firstLine="619"/>
        <w:spacing w:after="0" w:line="253" w:lineRule="auto"/>
        <w:rPr>
          <w:sz w:val="20"/>
          <w:szCs w:val="20"/>
          <w:color w:val="auto"/>
        </w:rPr>
      </w:pPr>
      <w:r>
        <w:rPr>
          <w:rFonts w:ascii="Times New Roman" w:cs="Times New Roman" w:eastAsia="Times New Roman" w:hAnsi="Times New Roman"/>
          <w:sz w:val="17"/>
          <w:szCs w:val="17"/>
          <w:color w:val="auto"/>
        </w:rPr>
        <w:t>We are subject to global privacy and data protection laws and regulations that apply to the collection, transmission, storage and use of personal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enforcement actions by data protection authorities against us, including fines or penalties, claims for damages by affected individuals, damage to our reputation and loss of goodwill, any of which could have a material adverse effect on our business, financial condition, results of operations or prospects.</w:t>
      </w:r>
    </w:p>
    <w:p>
      <w:pPr>
        <w:spacing w:after="0" w:line="200" w:lineRule="exact"/>
        <w:rPr>
          <w:sz w:val="20"/>
          <w:szCs w:val="20"/>
          <w:color w:val="auto"/>
        </w:rPr>
      </w:pPr>
    </w:p>
    <w:p>
      <w:pPr>
        <w:spacing w:after="0" w:line="34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17"/>
          <w:szCs w:val="17"/>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the legislative landscape is constantly evolving. In particular, laws and regulations governing the privacy of health information, such as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how protected health information may be used, shared or processed in compliance with applicable privacy standards and our contractual obligations can be complex and may be subject to changing interpretation. Further, if we fail to comply with applicable privacy laws, we could face civil and criminal penalties, or claims for breach of contract. The HHS has enforcement discretion for HIPAA, and any enforcement activity can result in financial liability and reputational harm, and responses to such enforcement activity can consume significant internal resources. In addition, states have shown an increased interest in protecting the privacy of health data. Washington state passed the My Health My Data Act, which took effect on March 31, 2024, and is focused on the collection of consumer health data. The My Health My Data Act has a broader scope than HIPAA and includes a private right of action—depending on whether this law applies to us, there may be substantial regulatory action and litigation associated with this act. Following Washington, Nevada enacted Senate Bill 370, which also took effect on March 31, 2024, and is similar to the My Health My Data Act and requires in-scope entities to comply with certain requirements regarding consumer health data. Notably, Senate Bill 370 does not include a private right of action nor does it apply to entities that are subject to HIPAA. Connecticut also amended its comprehensive privacy law in 2023, the Connecticut Data Privacy Act, to impose obligations aimed at “consumer health data.” Furthermore, state attorneys general are authorized to bring civil actions seeking either injunctions or damages in response to violations that threaten the privacy of state residents pursuant to local state laws.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86"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Personal data privacy remains an evolving landscape at both the U.S. state and international level, with new regulations coming into effect. For example, the CCPA, which came into effect on January 1, 2020, and was amended and expanded by the California Privacy Rights Act (CPRA) as of January 1, 2023, provides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including by California residents’ employers. Additionally, the CCPA, as amended, requires companies that process personal information of California residents to make disclosures to consumers about their data collection, use and sharing practices, allow consumers to opt out of certain data sharing with third parties, complete certain audits and assessments when processing higher risk data and provide a private right of action for data breaches, as described above. Although the CCPA includes limited exceptions—including exceptions for personal health information collected by covered entities or business associates subject to HIPAA among others, the CCPA may regulate or impact our processing of personal information depending on the context. Failure to comply with the CCPA may result in significant civil penalties, injunctive relief, or statutory or actual damages as determined by the California Privacy Protection Agency, the newly created state agency from the CPRA legislation that is charged with creating new rules and enforcing the CCPA, and the California Attorney General, who also still maintains some CCPA enforcement powers. Notably, following California’s lead, several other states enacted or proposed privacy laws that contain obligations similar to the CCPA and CPRA that have taken effect or will take effect in coming years. In addition, a comprehensive federal privacy bill, which includes a private right of action for violations, has been proposed and is under review by the U.S. House of Representatives. Compliance with this new privacy legislation adds complexity and may require investment in additional resources for compliance programs, thus potentially result in additional costs and expense of resources to maintain compliance.</w:t>
      </w:r>
    </w:p>
    <w:p>
      <w:pPr>
        <w:spacing w:after="0" w:line="200" w:lineRule="exact"/>
        <w:rPr>
          <w:sz w:val="20"/>
          <w:szCs w:val="20"/>
          <w:color w:val="auto"/>
        </w:rPr>
      </w:pPr>
    </w:p>
    <w:p>
      <w:pPr>
        <w:spacing w:after="0" w:line="35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In the EU, the EU GDPR governs the collection, use, disclosure, transfer, or other processing of personal data. The UK has implemented the EU GDPR as the UK GDPR which sits alongside the UK Data Protection Act 2018 (the UK GDPR, and together with the EU GDPR, the GDPR). The GDPR imposes compliance obligations on controllers, including (among others) mandating burdensome documentation requirements, granting certain privacy rights to individuals to control how companies collect, use, disclose, retain and otherwise process information about them as well as specific requirements for obtaining valid consent where consent is the legal basis for processing, requirements around accountability and transparency, the obligation to consider data protection when any new products or services are developed, the obligation to appoint data protection officers in certain circumstances, the obligation to notify relevant data supervisory authorities of notifiable personal data breaches without undue delay (and no later than 72 hours) after becoming aware of the personal data breach, and the requirement for more detailed notices for clinical trial subjects and investigators. In addition, the EU GDPR prohibits the international transfer of personal data from clinical trial sites and other third parties (e.g., CROs) located in the EEA to jurisdictions that the European Commission does not recognize as having ‘adequate’ data protection laws, unless a data transfer mechanism has been put in place or a derogation under the EU GDPR can be relied upon. After years of uncertainty following the July 16, 2020 decision of the Court of Justice of the European Union invalidating the EU-U.S. Privacy Shield Framework for purposes of international transfers and imposing further restrictions on the use of standard contractual clauses (EU SCCs), including a requirement for companies to carry out a transfer privacy impact assessment (TIA), on July 10, 2023, the European Commission adopted its Final Implementing Decision granting the U.S. adequacy (Adequacy Decision) for EU-U.S. transfers of personal data for entities self-certified to the EU-U.S. Data Privacy Framework (DPF). Entities relying on EU SCCs for transfers to the United States are also able to rely on the analysis in the Adequacy Decision as support for their TIA regarding the equivalence of U.S. national security safeguards and redress.</w:t>
      </w:r>
    </w:p>
    <w:p>
      <w:pPr>
        <w:spacing w:after="0" w:line="82" w:lineRule="exact"/>
        <w:rPr>
          <w:sz w:val="20"/>
          <w:szCs w:val="20"/>
          <w:color w:val="auto"/>
        </w:rPr>
      </w:pPr>
    </w:p>
    <w:p>
      <w:pPr>
        <w:ind w:firstLine="619"/>
        <w:spacing w:after="0" w:line="253" w:lineRule="auto"/>
        <w:rPr>
          <w:sz w:val="20"/>
          <w:szCs w:val="20"/>
          <w:color w:val="auto"/>
        </w:rPr>
      </w:pPr>
      <w:r>
        <w:rPr>
          <w:rFonts w:ascii="Times New Roman" w:cs="Times New Roman" w:eastAsia="Times New Roman" w:hAnsi="Times New Roman"/>
          <w:sz w:val="17"/>
          <w:szCs w:val="17"/>
          <w:color w:val="auto"/>
        </w:rPr>
        <w:t>Under the UK GDPR, companies not established in the UK but who process personal data in relation to the offering of goods or services to individuals in the UK, or to the monitoring of their behavior will be subject to the UK GDPR—the requirements of which at this time are largely aligned with those under the EU GDPR.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European Commission during this period.</w:t>
      </w:r>
    </w:p>
    <w:p>
      <w:pPr>
        <w:spacing w:after="0" w:line="65"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17"/>
          <w:szCs w:val="17"/>
          <w:color w:val="auto"/>
        </w:rPr>
        <w:t>The UK GDPR also imposes similar restrictions on transfers of personal data from the UK to jurisdictions that the UK Government does not consider adequate, including the U.S. The UK’s Information Commissioner’s Office (ICO) published: (i) its own form of EU SCCs, known as the International Data Transfer Agreement to replace the old Standard Contractual Clauses for transfers to outside the UK; (ii) a “UK addendum” to the new EU SCCs which amends the relevant provisions of such clauses to work in a UK context; and (iii) its own version of the TIA and guidance on international transfers (although entities may choose to adopt either the EU or UK-style TIA). Further, on September 21, 2023, the UK Secretary of State for Science, Innovation and Technology established a UK-U.S. data bridge (i.e., a UK equivalent of the Adequacy Decision) and adopted UK regulations to implement the UK-U.S. data bridge (UK Adequacy Regulations). Personal data may now be transferred from the UK under the UK-U.S. data bridge through the UK extension to the DPF to organizations self-certified under the UK extension to the DPF. The UK extension to the DPF, which covers transfers of personal data from the UK to certified companies in the United States took effect in October 2023.</w:t>
      </w:r>
    </w:p>
    <w:p>
      <w:pPr>
        <w:spacing w:after="0" w:line="72" w:lineRule="exact"/>
        <w:rPr>
          <w:sz w:val="20"/>
          <w:szCs w:val="20"/>
          <w:color w:val="auto"/>
        </w:rPr>
      </w:pPr>
    </w:p>
    <w:p>
      <w:pPr>
        <w:jc w:val="both"/>
        <w:ind w:right="140" w:firstLine="619"/>
        <w:spacing w:after="0" w:line="254" w:lineRule="auto"/>
        <w:rPr>
          <w:sz w:val="20"/>
          <w:szCs w:val="20"/>
          <w:color w:val="auto"/>
        </w:rPr>
      </w:pPr>
      <w:r>
        <w:rPr>
          <w:rFonts w:ascii="Times New Roman" w:cs="Times New Roman" w:eastAsia="Times New Roman" w:hAnsi="Times New Roman"/>
          <w:sz w:val="17"/>
          <w:szCs w:val="17"/>
          <w:color w:val="auto"/>
        </w:rPr>
        <w:t>However, the DPF in both the EU and UK may be subject to further legal challenge which could cause the legal requirements for personal data transfers from the EU and the UK to the United States to become uncertain once again. EU and UK data protection authorities have and may again block the use of certain U.S.-based services that involve the transfer of personal data to the United States. In the EU and other markets, potential new rules and restrictions on the flow of data across borders could increase the cost and complexity of doing business in those regions.</w:t>
      </w:r>
    </w:p>
    <w:p>
      <w:pPr>
        <w:spacing w:after="0" w:line="62"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As a company, we have invested, and expect to continue to invest, significant time and resources in our GDPR compliance program. This is necessary to ensure we can initiate and maintain GDPR-compliant clinical trials in the EU or UK (as applicable). Any failure or perceived failure by us with respect to GDPR compliance could mean we either cannot initiate additional GDPR-compliant clinical trials in the EU or UK (as applicable) or we may face regulatory investigations, significant fines and penalties, reputational damage or be required to change our business practices, all of which could adversely affect our business, financial condition and results of operations.</w:t>
      </w:r>
    </w:p>
    <w:p>
      <w:pPr>
        <w:spacing w:after="0" w:line="82" w:lineRule="exact"/>
        <w:rPr>
          <w:sz w:val="20"/>
          <w:szCs w:val="20"/>
          <w:color w:val="auto"/>
        </w:rPr>
      </w:pPr>
    </w:p>
    <w:p>
      <w:pPr>
        <w:ind w:right="120" w:firstLine="619"/>
        <w:spacing w:after="0" w:line="254" w:lineRule="auto"/>
        <w:rPr>
          <w:sz w:val="20"/>
          <w:szCs w:val="20"/>
          <w:color w:val="auto"/>
        </w:rPr>
      </w:pPr>
      <w:r>
        <w:rPr>
          <w:rFonts w:ascii="Times New Roman" w:cs="Times New Roman" w:eastAsia="Times New Roman" w:hAnsi="Times New Roman"/>
          <w:sz w:val="17"/>
          <w:szCs w:val="17"/>
          <w:color w:val="auto"/>
        </w:rPr>
        <w:t>Some countries also are considering or have passed legislation requiring local storage and processing of data, or similar requirements, which could increase the cost and complexity for conducting preclinical testing and clinical trials or delivering our future products, if any. Additionally, other countries (e.g., Australia and Japan) have adopted certain legal requirements for cross-border transfers of personal information. These obligations may be interpreted and applied in a manner that is inconsistent from one jurisdiction to another and may conflict with other requirements or our practices.</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It is possible that these laws may be interpreted and applied in a manner that is inconsistent with our practices, and our efforts to comply with the evolving data protection rules may be unsuccessful.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Compliance with these and any other applicable privacy and data security laws and regulations is a rigorous and time-intensive process, and we may be required to put in place additional mechanisms for ensuring compliance with the new data protection rules. 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and adverse impact on our business, results of operations, reputation, and financial condition.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74" w:lineRule="exact"/>
        <w:rPr>
          <w:sz w:val="20"/>
          <w:szCs w:val="20"/>
          <w:color w:val="auto"/>
        </w:rPr>
      </w:pPr>
    </w:p>
    <w:p>
      <w:pPr>
        <w:ind w:right="500" w:firstLine="619"/>
        <w:spacing w:after="0" w:line="262" w:lineRule="auto"/>
        <w:rPr>
          <w:sz w:val="20"/>
          <w:szCs w:val="20"/>
          <w:color w:val="auto"/>
        </w:rPr>
      </w:pPr>
      <w:r>
        <w:rPr>
          <w:rFonts w:ascii="Times New Roman" w:cs="Times New Roman" w:eastAsia="Times New Roman" w:hAnsi="Times New Roman"/>
          <w:sz w:val="17"/>
          <w:szCs w:val="17"/>
          <w:color w:val="auto"/>
        </w:rPr>
        <w:t>Any such liability, litigation, investigations and proceedings may or may not be covered by our liability insurance and may subject us to significant penalties and negative publicity, require us to change our business practices, increase our costs, severely disrupt our business, and may result in significant reputational harm and have a material and adverse impact on our business, financial condition, results of operations or prospects.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federal income tax reform and changes in other tax laws could adversely affect us.</w:t>
      </w:r>
    </w:p>
    <w:p>
      <w:pPr>
        <w:spacing w:after="0" w:line="120" w:lineRule="exact"/>
        <w:rPr>
          <w:sz w:val="20"/>
          <w:szCs w:val="20"/>
          <w:color w:val="auto"/>
        </w:rPr>
      </w:pPr>
    </w:p>
    <w:p>
      <w:pPr>
        <w:ind w:right="40" w:firstLine="619"/>
        <w:spacing w:after="0" w:line="253" w:lineRule="auto"/>
        <w:rPr>
          <w:sz w:val="20"/>
          <w:szCs w:val="20"/>
          <w:color w:val="auto"/>
        </w:rPr>
      </w:pPr>
      <w:r>
        <w:rPr>
          <w:rFonts w:ascii="Times New Roman" w:cs="Times New Roman" w:eastAsia="Times New Roman" w:hAnsi="Times New Roman"/>
          <w:sz w:val="17"/>
          <w:szCs w:val="17"/>
          <w:color w:val="auto"/>
        </w:rPr>
        <w:t>In December 2017, U.S. federal tax legislation commonly referred to as the TCJA was signed into law, significantly reforming the Internal Revenue Code of 1986, as amended (Code). The TCJA, among other things, changed the U.S. federal tax treatment of research and experimental (R&amp;E) expenses. For tax years beginning on or after January 1, 2022, taxpayers are required to capitalize and amortize, rather than deduct, R&amp;E expenses. R&amp;E expenses are amortizable over five years for research performed in the United States and 15 years for research performed outside the United States. Although there are legislative proposals to repeal or defer the capitalization requirement to later years, there can be no assurance that the provision will be repealed or otherwise modified.</w:t>
      </w:r>
    </w:p>
    <w:p>
      <w:pPr>
        <w:spacing w:after="0" w:line="65" w:lineRule="exact"/>
        <w:rPr>
          <w:sz w:val="20"/>
          <w:szCs w:val="20"/>
          <w:color w:val="auto"/>
        </w:rPr>
      </w:pPr>
    </w:p>
    <w:p>
      <w:pPr>
        <w:ind w:right="20" w:firstLine="619"/>
        <w:spacing w:after="0" w:line="254" w:lineRule="auto"/>
        <w:rPr>
          <w:sz w:val="20"/>
          <w:szCs w:val="20"/>
          <w:color w:val="auto"/>
        </w:rPr>
      </w:pPr>
      <w:r>
        <w:rPr>
          <w:rFonts w:ascii="Times New Roman" w:cs="Times New Roman" w:eastAsia="Times New Roman" w:hAnsi="Times New Roman"/>
          <w:sz w:val="17"/>
          <w:szCs w:val="17"/>
          <w:color w:val="auto"/>
        </w:rPr>
        <w:t>Effective for transactions occurring on or after January 1, 2023, the IRA imposed a new one percent excise tax on certain repurchases of stock by publicly traded U.S. domestic corporations. The excise tax is imposed on the repurchasing corporation itself, not its shareholders from which shares are repurchased. For purposes of calculating the base excise tax, repurchasing corporations are permitted to net the fair market value of certain new stock issuances against the fair market value of stock repurchases during the same taxable year. Certain repurchases are not counted in the base of the excise tax.</w:t>
      </w:r>
    </w:p>
    <w:p>
      <w:pPr>
        <w:spacing w:after="0" w:line="62" w:lineRule="exact"/>
        <w:rPr>
          <w:sz w:val="20"/>
          <w:szCs w:val="20"/>
          <w:color w:val="auto"/>
        </w:rPr>
      </w:pPr>
    </w:p>
    <w:p>
      <w:pPr>
        <w:ind w:right="120" w:firstLine="619"/>
        <w:spacing w:after="0" w:line="254" w:lineRule="auto"/>
        <w:rPr>
          <w:sz w:val="20"/>
          <w:szCs w:val="20"/>
          <w:color w:val="auto"/>
        </w:rPr>
      </w:pPr>
      <w:r>
        <w:rPr>
          <w:rFonts w:ascii="Times New Roman" w:cs="Times New Roman" w:eastAsia="Times New Roman" w:hAnsi="Times New Roman"/>
          <w:sz w:val="17"/>
          <w:szCs w:val="17"/>
          <w:color w:val="auto"/>
        </w:rPr>
        <w:t>In addition, new legislation or regulations that could affect our tax burden could be enacted by any governmental authority. We cannot predict the timing or extent of such tax-related developments that could negatively impact our financial results. We use our best judgment in attempting to quantify and reserve for these tax obligations. However, a challenge by a taxing authority, our ability to utilize tax benefits such as carryforwards or tax credits, or a deviation from other tax-related assumptions could have a material adverse effect on our business, results of operations,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utilize our net operating loss carryforwards may be subject to limitations.</w:t>
      </w:r>
    </w:p>
    <w:p>
      <w:pPr>
        <w:spacing w:after="0" w:line="120"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We have incurred substantial losses during our history, do not expect to become profitable in the near future and may never achieve profitability. As of November 30, 2023, we had federal and state net operating loss (NOL) carryforwards of approximately $269.3 million and $410.9 million, respectively. To the extent we continue to generate taxable losses, unused losses will carry forward to offset future taxable income, if any, subject to the restrictions and exceptions described below. Federal NOLs generated in tax years beginning on or before December 31, 2017, may be carried forward 20 tax years and expire on various dates beginning in 2029. Under current law, NOLs arising in tax years beginning after December 31, 2017, may be carried forward indefinitely, but are limited to no more than 80% of the excess, if any, of current year taxable income (without regard to certain deductions). Our state NOLs can be carried forward 20 years and begin expiring in 2029.</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Under Sections 382 and 383 of the Code,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or post-change income tax may be limited. We have identified two ownership changes since our inception that have triggered a limitation on pre-change NOLs under Section 382. A majority of our pre-change NOLs remain available within the carryforward period provided by the Code, subject to availability of taxable income. We may have experienced additional ownership changes that have not yet been identified that could result in the expiration of our NOL and credit carryforwards before utilization and we may experience additional ownership changes in the future as a result of subsequent shifts in our stock ownership, some of which are outside our control. As a result, if we earn net taxable income, our ability to use our pre-change NOLs and tax credit carryovers to offset U.S. federal taxable income and tax liability may be subject to limitations that potentially could result in increased future tax liability to us. In addition, at the state level, there may be periods during which the use of NOLs is suspended or otherwise limited, which could accelerate or permanently increase state taxes owed.</w:t>
      </w:r>
    </w:p>
    <w:p>
      <w:pPr>
        <w:spacing w:after="0" w:line="169"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Future acquisitions, joint ventures, spin outs or strategic alliances or transactions could disrupt our business and harm our financial condition and results of operations.</w:t>
      </w:r>
    </w:p>
    <w:p>
      <w:pPr>
        <w:spacing w:after="0" w:line="43"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be certain that, following any such acquisition, we will achieve the expected synergies to justify the transaction. The risks we face in connection with acquisitions include:</w:t>
      </w:r>
    </w:p>
    <w:p>
      <w:pPr>
        <w:spacing w:after="0" w:line="67" w:lineRule="exact"/>
        <w:rPr>
          <w:sz w:val="20"/>
          <w:szCs w:val="20"/>
          <w:color w:val="auto"/>
        </w:rPr>
      </w:pPr>
    </w:p>
    <w:p>
      <w:pPr>
        <w:ind w:left="920" w:hanging="298"/>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 time and focus from operating our business to addressing acquisition integration challenges;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coordination of research and development efforts;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retention of key employees from the acquired company;</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relationships with strategic partners as a result of product acquisitions or strategic positioning resulting from the acquisition;</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cultural challenges associated with integrating employees from the acquired company into our organization;</w:t>
      </w:r>
    </w:p>
    <w:p>
      <w:pPr>
        <w:spacing w:after="0" w:line="101" w:lineRule="exact"/>
        <w:rPr>
          <w:rFonts w:ascii="Times New Roman" w:cs="Times New Roman" w:eastAsia="Times New Roman" w:hAnsi="Times New Roman"/>
          <w:sz w:val="17"/>
          <w:szCs w:val="17"/>
          <w:color w:val="auto"/>
        </w:rPr>
      </w:pPr>
    </w:p>
    <w:p>
      <w:pPr>
        <w:ind w:left="940" w:right="180" w:hanging="318"/>
        <w:spacing w:after="0" w:line="271" w:lineRule="auto"/>
        <w:tabs>
          <w:tab w:leader="none" w:pos="93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implement or improve controls, procedures and policies at a business that prior to the acquisition may have lacked sufficiently effective controls, procedures and policies;</w:t>
      </w:r>
    </w:p>
    <w:p>
      <w:pPr>
        <w:spacing w:after="0" w:line="61" w:lineRule="exact"/>
        <w:rPr>
          <w:rFonts w:ascii="Times New Roman" w:cs="Times New Roman" w:eastAsia="Times New Roman" w:hAnsi="Times New Roman"/>
          <w:sz w:val="17"/>
          <w:szCs w:val="17"/>
          <w:color w:val="auto"/>
        </w:rPr>
      </w:pPr>
    </w:p>
    <w:p>
      <w:pPr>
        <w:ind w:left="940" w:right="700" w:hanging="318"/>
        <w:spacing w:after="0" w:line="271" w:lineRule="auto"/>
        <w:tabs>
          <w:tab w:leader="none" w:pos="93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liability for activities of the acquired company before the acquisition, including intellectual property infringement claims, violation of laws, commercial disputes, tax liabilities and other known liabilities;</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write-offs or charges; and</w:t>
      </w:r>
    </w:p>
    <w:p>
      <w:pPr>
        <w:spacing w:after="0" w:line="113" w:lineRule="exact"/>
        <w:rPr>
          <w:rFonts w:ascii="Times New Roman" w:cs="Times New Roman" w:eastAsia="Times New Roman" w:hAnsi="Times New Roman"/>
          <w:sz w:val="17"/>
          <w:szCs w:val="17"/>
          <w:color w:val="auto"/>
        </w:rPr>
      </w:pPr>
    </w:p>
    <w:p>
      <w:pPr>
        <w:ind w:left="940" w:right="140" w:hanging="318"/>
        <w:spacing w:after="0" w:line="271" w:lineRule="auto"/>
        <w:tabs>
          <w:tab w:leader="none" w:pos="93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other claims in connection with the acquired company, including claims from terminated employees, customers, former stockholders or other third parties.</w:t>
      </w:r>
    </w:p>
    <w:p>
      <w:pPr>
        <w:spacing w:after="0" w:line="48" w:lineRule="exact"/>
        <w:rPr>
          <w:sz w:val="20"/>
          <w:szCs w:val="20"/>
          <w:color w:val="auto"/>
        </w:rPr>
      </w:pPr>
    </w:p>
    <w:p>
      <w:pPr>
        <w:ind w:right="100" w:firstLine="619"/>
        <w:spacing w:after="0" w:line="253" w:lineRule="auto"/>
        <w:rPr>
          <w:sz w:val="20"/>
          <w:szCs w:val="20"/>
          <w:color w:val="auto"/>
        </w:rPr>
      </w:pPr>
      <w:r>
        <w:rPr>
          <w:rFonts w:ascii="Times New Roman" w:cs="Times New Roman" w:eastAsia="Times New Roman" w:hAnsi="Times New Roman"/>
          <w:sz w:val="17"/>
          <w:szCs w:val="17"/>
          <w:color w:val="auto"/>
        </w:rPr>
        <w:t>Our failure to address these risks or other problems encountered in connection with our past or future acquisitions or strategic alliances could cause us to fail to realize the anticipated benefits of these transactions or cause us to incur unanticipated liabilities and harm the business generally. There also is a risk that future acquisitions will result in our incurring debt, contingent liabilities, amortization expenses or incremental operating expenses, any of which could harm our financial condition or results of operations. Additionally, we may not realize the expected value of out-licensing, joint ventures, spin outs or other strategic transactions.</w:t>
      </w:r>
    </w:p>
    <w:p>
      <w:pPr>
        <w:spacing w:after="0" w:line="200" w:lineRule="exact"/>
        <w:rPr>
          <w:sz w:val="20"/>
          <w:szCs w:val="20"/>
          <w:color w:val="auto"/>
        </w:rPr>
      </w:pPr>
    </w:p>
    <w:p>
      <w:pPr>
        <w:spacing w:after="0" w:line="34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or other remedial measures and legal expenses, any of which could adversely affect our business, results of operations and financial condition.</w:t>
      </w:r>
    </w:p>
    <w:p>
      <w:pPr>
        <w:spacing w:after="0" w:line="61" w:lineRule="exact"/>
        <w:rPr>
          <w:sz w:val="20"/>
          <w:szCs w:val="20"/>
          <w:color w:val="auto"/>
        </w:rPr>
      </w:pPr>
    </w:p>
    <w:p>
      <w:pPr>
        <w:ind w:right="20" w:firstLine="619"/>
        <w:spacing w:after="0" w:line="248" w:lineRule="auto"/>
        <w:rPr>
          <w:sz w:val="20"/>
          <w:szCs w:val="20"/>
          <w:color w:val="auto"/>
        </w:rPr>
      </w:pPr>
      <w:r>
        <w:rPr>
          <w:rFonts w:ascii="Times New Roman" w:cs="Times New Roman" w:eastAsia="Times New Roman" w:hAnsi="Times New Roman"/>
          <w:sz w:val="17"/>
          <w:szCs w:val="17"/>
          <w:color w:val="auto"/>
        </w:rPr>
        <w:t>Our operations are subject to anti-corruption laws, including the Foreign Corrupt Practices Act (FCPA), the Bribery Act and other anticorruption laws that apply in countries where we do business and may do business in the future. The FCPA, the Bribery Act and other anti-corruption or similar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69" w:lineRule="exact"/>
        <w:rPr>
          <w:sz w:val="20"/>
          <w:szCs w:val="20"/>
          <w:color w:val="auto"/>
        </w:rPr>
      </w:pPr>
    </w:p>
    <w:p>
      <w:pPr>
        <w:ind w:right="140" w:firstLine="619"/>
        <w:spacing w:after="0" w:line="262" w:lineRule="auto"/>
        <w:rPr>
          <w:sz w:val="20"/>
          <w:szCs w:val="20"/>
          <w:color w:val="auto"/>
        </w:rPr>
      </w:pPr>
      <w:r>
        <w:rPr>
          <w:rFonts w:ascii="Times New Roman" w:cs="Times New Roman" w:eastAsia="Times New Roman" w:hAnsi="Times New Roman"/>
          <w:sz w:val="17"/>
          <w:szCs w:val="17"/>
          <w:color w:val="auto"/>
        </w:rPr>
        <w:t>We also are subject to other laws and regulations governing our international operations, including regulations administered by the governments of the United States, UK and authorities in the EU, including applicable export control regulations, economic sanctions on countries and persons, customs requirements and currency exchange regulations, which we collectively refer to as Trade Control Laws.</w:t>
      </w:r>
    </w:p>
    <w:p>
      <w:pPr>
        <w:spacing w:after="0" w:line="56" w:lineRule="exact"/>
        <w:rPr>
          <w:sz w:val="20"/>
          <w:szCs w:val="20"/>
          <w:color w:val="auto"/>
        </w:rPr>
      </w:pPr>
    </w:p>
    <w:p>
      <w:pPr>
        <w:ind w:right="20" w:firstLine="619"/>
        <w:spacing w:after="0" w:line="248" w:lineRule="auto"/>
        <w:rPr>
          <w:sz w:val="20"/>
          <w:szCs w:val="20"/>
          <w:color w:val="auto"/>
        </w:rPr>
      </w:pPr>
      <w:r>
        <w:rPr>
          <w:rFonts w:ascii="Times New Roman" w:cs="Times New Roman" w:eastAsia="Times New Roman" w:hAnsi="Times New Roman"/>
          <w:sz w:val="17"/>
          <w:szCs w:val="17"/>
          <w:color w:val="auto"/>
        </w:rPr>
        <w:t>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legal expenses, and disgorgement and other sanctions and remedial measures, which could have an adverse impact on our business, financial condition, results of operations and liquidity. The Securities and Exchange Commission (SEC) also may suspend or bar issuers from trading securities on U.S. exchanges for violations of the FCPA’s accounting provisions. Likewise, any investigation of any potential violations of the FCPA, the Bribery Act, other anti-corruption laws or Trade Control Laws by U.S., UK or other authorities also could have an adverse impact on our reputation, our business, results of operations and financial condition.</w:t>
      </w:r>
    </w:p>
    <w:p>
      <w:pPr>
        <w:spacing w:after="0" w:line="179" w:lineRule="exact"/>
        <w:rPr>
          <w:sz w:val="20"/>
          <w:szCs w:val="20"/>
          <w:color w:val="auto"/>
        </w:rPr>
      </w:pPr>
    </w:p>
    <w:p>
      <w:pPr>
        <w:ind w:right="6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environmental, health and safety laws and regulations, we could become subject to fines or penalties or incur costs that could significantly harm our business.</w:t>
      </w:r>
    </w:p>
    <w:p>
      <w:pPr>
        <w:spacing w:after="0" w:line="43"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271" w:lineRule="exact"/>
        <w:rPr>
          <w:sz w:val="20"/>
          <w:szCs w:val="20"/>
          <w:color w:val="auto"/>
        </w:rPr>
      </w:pPr>
    </w:p>
    <w:p>
      <w:pPr>
        <w:ind w:right="60" w:firstLine="619"/>
        <w:spacing w:after="0" w:line="250" w:lineRule="auto"/>
        <w:rPr>
          <w:sz w:val="20"/>
          <w:szCs w:val="20"/>
          <w:color w:val="auto"/>
        </w:rPr>
      </w:pPr>
      <w:r>
        <w:rPr>
          <w:rFonts w:ascii="Times New Roman" w:cs="Times New Roman" w:eastAsia="Times New Roman" w:hAnsi="Times New Roman"/>
          <w:sz w:val="17"/>
          <w:szCs w:val="17"/>
          <w:color w:val="auto"/>
        </w:rPr>
        <w:t>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 liability or toxic tort claims that may be asserted against us. In addition, we may incur substantial costs in order to comply with 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w:t>
      </w:r>
    </w:p>
    <w:p>
      <w:pPr>
        <w:spacing w:after="0" w:line="200" w:lineRule="exact"/>
        <w:rPr>
          <w:sz w:val="20"/>
          <w:szCs w:val="20"/>
          <w:color w:val="auto"/>
        </w:rPr>
      </w:pPr>
    </w:p>
    <w:p>
      <w:pPr>
        <w:spacing w:after="0" w:line="34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Unfavorable global economic conditions could adversely affect our business, financial condition, stock price and results of operations.</w:t>
      </w:r>
    </w:p>
    <w:p>
      <w:pPr>
        <w:spacing w:after="0" w:line="120"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Our results of operations could be adversely affected by general conditions in the global economy and in the global financial markets. For example, the global financial crisis of 2007-2008 caused extreme volatility and disruptions in the capital and credit markets. Similarly, the volatility associated with the COVID-19 pandemic caused significant instability and disruptions in the capital and credit markets and, more recently, the global economy has been impacted by increasing interest rates and inflation, uncertainty with respect to the federal budget and debt ceiling and potential government shutdowns related thereto, as well as the possibility of a recession or further economic downturn. Moreover, there have been recent concerns with respect to the stability of the global banking system. For example, on March 10, 2023, Silicon Valley Bank (SVB), which was one of our banking partners, was closed by the California Department of Financial Protection and Innovation, which appointed the Federal Deposit Insurance Corporation (FDIC) as receiver. Similarly, on March 12, 2023, Silvergate Capital Corp. and Signature Bank were each swept into receivership. While we only had a minimal amount of our cash directly at SVB and the FDIC took steps to make depositors of SVB whole such that we regained access to this cash, there is no assurance that similar guarantees will be made in the event of further bank closures and continued instability in the global banking system. Our ongoing cash management strategy is to maintain diversity in our deposit accounts across financial institutions, but deposits in these institutions may exceed the amount of insurance provided on such deposits and there can be no assurance that this strategy will be successful. If other banks and financial institutions enter receivership or become insolvent in the future in response to financial conditions affecting the banking system and financial markets, then our ability to access our cash, cash equivalents and marketable securities may be threatened, which could have a material adverse effect on our business and financial condition. Furthermore, the capital and credit markets may be adversely affected by regional conflicts around the world and the possibility of a wider global conflict, global sanctions imposed in response to regional conflicts or an energy crisis. A severe or prolonged economic downturn, such as the global financial crisis, could result in a variety of risks to our business, including weakened demand for our drug candidates and in our ability to raise additional capital when needed on acceptable terms, if at all. A weak or declining economy also could strain our suppliers, possibly resulting in supply disruption.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spacing w:after="0" w:line="176"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current operations are in the San Francisco Bay Area, and we or the third parties upon whom we depend may be adversely affected by earthquakes or other natural disasters as to which our business continuity and disaster recovery plans may not be adequate to protect us.</w:t>
      </w:r>
    </w:p>
    <w:p>
      <w:pPr>
        <w:spacing w:after="0" w:line="43"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Our current operations are located in our facilities in San Francisco, California. Any unplanned event, such as earthquake, flood, fire, explosion, extreme weather condition, medical epidemic,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drug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200" w:lineRule="exact"/>
        <w:rPr>
          <w:sz w:val="20"/>
          <w:szCs w:val="20"/>
          <w:color w:val="auto"/>
        </w:rPr>
      </w:pPr>
    </w:p>
    <w:p>
      <w:pPr>
        <w:spacing w:after="0" w:line="3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Common Stock</w:t>
      </w:r>
    </w:p>
    <w:p>
      <w:pPr>
        <w:spacing w:after="0" w:line="112"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quarterly results of operations may fluctuate significantly or may fall below the expectations of investors or securities analysts, each of which may cause our stock price to fluctuate or decline.</w:t>
      </w:r>
    </w:p>
    <w:p>
      <w:pPr>
        <w:spacing w:after="0" w:line="43" w:lineRule="exact"/>
        <w:rPr>
          <w:sz w:val="20"/>
          <w:szCs w:val="20"/>
          <w:color w:val="auto"/>
        </w:rPr>
      </w:pPr>
    </w:p>
    <w:p>
      <w:pPr>
        <w:ind w:right="480" w:firstLine="619"/>
        <w:spacing w:after="0" w:line="271" w:lineRule="auto"/>
        <w:rPr>
          <w:sz w:val="20"/>
          <w:szCs w:val="20"/>
          <w:color w:val="auto"/>
        </w:rPr>
      </w:pPr>
      <w:r>
        <w:rPr>
          <w:rFonts w:ascii="Times New Roman" w:cs="Times New Roman" w:eastAsia="Times New Roman" w:hAnsi="Times New Roman"/>
          <w:sz w:val="17"/>
          <w:szCs w:val="17"/>
          <w:color w:val="auto"/>
        </w:rPr>
        <w:t>We expect our results of operations to be subject to quarterly fluctuations. Our net loss and other results of operations will be affected by numerous factors, including:</w:t>
      </w:r>
    </w:p>
    <w:p>
      <w:pPr>
        <w:spacing w:after="0" w:line="61" w:lineRule="exact"/>
        <w:rPr>
          <w:sz w:val="20"/>
          <w:szCs w:val="20"/>
          <w:color w:val="auto"/>
        </w:rPr>
      </w:pPr>
    </w:p>
    <w:p>
      <w:pPr>
        <w:ind w:left="920" w:hanging="298"/>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the level of expense related to the ongoing development of our drug candidates, DELigase platform, or future development programs;</w:t>
      </w:r>
    </w:p>
    <w:p>
      <w:pPr>
        <w:spacing w:after="0" w:line="101" w:lineRule="exact"/>
        <w:rPr>
          <w:rFonts w:ascii="Times New Roman" w:cs="Times New Roman" w:eastAsia="Times New Roman" w:hAnsi="Times New Roman"/>
          <w:sz w:val="17"/>
          <w:szCs w:val="17"/>
          <w:color w:val="auto"/>
        </w:rPr>
      </w:pPr>
    </w:p>
    <w:p>
      <w:pPr>
        <w:ind w:left="940" w:right="560" w:hanging="318"/>
        <w:spacing w:after="0" w:line="271" w:lineRule="auto"/>
        <w:tabs>
          <w:tab w:leader="none" w:pos="93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preclinical studies and clinical trials, or the addition or termination of clinical trials or funding support by us or by existing or future collaborators or licensing partners;</w:t>
      </w:r>
    </w:p>
    <w:p>
      <w:pPr>
        <w:spacing w:after="0" w:line="61" w:lineRule="exact"/>
        <w:rPr>
          <w:rFonts w:ascii="Times New Roman" w:cs="Times New Roman" w:eastAsia="Times New Roman" w:hAnsi="Times New Roman"/>
          <w:sz w:val="17"/>
          <w:szCs w:val="17"/>
          <w:color w:val="auto"/>
        </w:rPr>
      </w:pPr>
    </w:p>
    <w:p>
      <w:pPr>
        <w:ind w:left="940" w:right="100" w:hanging="318"/>
        <w:spacing w:after="0" w:line="271" w:lineRule="auto"/>
        <w:tabs>
          <w:tab w:leader="none" w:pos="93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intellectual property infringement lawsuit or opposition, interference or cancellation proceeding in which we may become involved;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and departures of key personnel;</w:t>
      </w:r>
    </w:p>
    <w:p>
      <w:pPr>
        <w:spacing w:after="0" w:line="101" w:lineRule="exact"/>
        <w:rPr>
          <w:rFonts w:ascii="Times New Roman" w:cs="Times New Roman" w:eastAsia="Times New Roman" w:hAnsi="Times New Roman"/>
          <w:sz w:val="17"/>
          <w:szCs w:val="17"/>
          <w:color w:val="auto"/>
        </w:rPr>
      </w:pPr>
    </w:p>
    <w:p>
      <w:pPr>
        <w:ind w:left="940" w:right="140" w:hanging="318"/>
        <w:spacing w:after="0" w:line="271" w:lineRule="auto"/>
        <w:tabs>
          <w:tab w:leader="none" w:pos="93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decisions by us or our competitors, such as acquisitions, divestitures, spin-offs, joint ventures, strategic investments or changes in business strategy;</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of our drug candidates receives regulatory approval, the terms of such approval and market acceptance and demand for such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developments affecting our drug candidates or those of our competitors; and</w:t>
      </w:r>
    </w:p>
    <w:p>
      <w:pPr>
        <w:spacing w:after="0" w:line="101" w:lineRule="exact"/>
        <w:rPr>
          <w:rFonts w:ascii="Times New Roman" w:cs="Times New Roman" w:eastAsia="Times New Roman" w:hAnsi="Times New Roman"/>
          <w:sz w:val="17"/>
          <w:szCs w:val="17"/>
          <w:color w:val="auto"/>
        </w:rPr>
      </w:pPr>
    </w:p>
    <w:p>
      <w:pPr>
        <w:ind w:left="940" w:right="100" w:hanging="318"/>
        <w:spacing w:after="0" w:line="262" w:lineRule="auto"/>
        <w:tabs>
          <w:tab w:leader="none" w:pos="93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market and economic conditions, including increasing interest rates, inflation, uncertainty with respect to the federal budget and debt ceiling and potential government shutdowns related thereto, instability in the global banking system and the possibility of a recession or further economic downturn.</w:t>
      </w:r>
    </w:p>
    <w:p>
      <w:pPr>
        <w:spacing w:after="0" w:line="56" w:lineRule="exact"/>
        <w:rPr>
          <w:sz w:val="20"/>
          <w:szCs w:val="20"/>
          <w:color w:val="auto"/>
        </w:rPr>
      </w:pPr>
    </w:p>
    <w:p>
      <w:pPr>
        <w:ind w:right="40" w:firstLine="619"/>
        <w:spacing w:after="0" w:line="262" w:lineRule="auto"/>
        <w:rPr>
          <w:sz w:val="20"/>
          <w:szCs w:val="20"/>
          <w:color w:val="auto"/>
        </w:rPr>
      </w:pPr>
      <w:r>
        <w:rPr>
          <w:rFonts w:ascii="Times New Roman" w:cs="Times New Roman" w:eastAsia="Times New Roman" w:hAnsi="Times New Roman"/>
          <w:sz w:val="17"/>
          <w:szCs w:val="17"/>
          <w:color w:val="auto"/>
        </w:rPr>
        <w:t>If our quarterly results of operations fall below the expectations of investors or securities analysts, the price of our common stock could decline substantially. Furthermore, any quarterly fluctuations in our results of operations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stock price may be volatile and you could lose all or part of your investment.</w:t>
      </w:r>
    </w:p>
    <w:p>
      <w:pPr>
        <w:spacing w:after="0" w:line="120" w:lineRule="exact"/>
        <w:rPr>
          <w:sz w:val="20"/>
          <w:szCs w:val="20"/>
          <w:color w:val="auto"/>
        </w:rPr>
      </w:pPr>
    </w:p>
    <w:p>
      <w:pPr>
        <w:jc w:val="both"/>
        <w:ind w:right="140" w:firstLine="619"/>
        <w:spacing w:after="0" w:line="262" w:lineRule="auto"/>
        <w:rPr>
          <w:sz w:val="20"/>
          <w:szCs w:val="20"/>
          <w:color w:val="auto"/>
        </w:rPr>
      </w:pPr>
      <w:r>
        <w:rPr>
          <w:rFonts w:ascii="Times New Roman" w:cs="Times New Roman" w:eastAsia="Times New Roman" w:hAnsi="Times New Roman"/>
          <w:sz w:val="17"/>
          <w:szCs w:val="17"/>
          <w:color w:val="auto"/>
        </w:rPr>
        <w:t>The trading price of our common stock may be highly volatile and subject to wide fluctuations in response to various factors, some of which we cannot control. As a result of this volatility, investors may not be able to sell their common stock at or above the purchase price. The market price for our common stock may be influenced by many factors, including the other risks described in this “Risk Factors” section and the following:</w:t>
      </w:r>
    </w:p>
    <w:p>
      <w:pPr>
        <w:spacing w:after="0" w:line="56" w:lineRule="exact"/>
        <w:rPr>
          <w:sz w:val="20"/>
          <w:szCs w:val="20"/>
          <w:color w:val="auto"/>
        </w:rPr>
      </w:pPr>
    </w:p>
    <w:p>
      <w:pPr>
        <w:ind w:left="920" w:hanging="298"/>
        <w:spacing w:after="0"/>
        <w:tabs>
          <w:tab w:leader="none" w:pos="9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preclinical studies and clinical trials of our drug candidates, or those of our competitors or our existing or future collaborators;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or legal developments in the United States and other countries, especially changes in laws or regulations applicable to our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competitive products or technologies;</w:t>
      </w:r>
    </w:p>
    <w:p>
      <w:pPr>
        <w:spacing w:after="0" w:line="101" w:lineRule="exact"/>
        <w:rPr>
          <w:rFonts w:ascii="Times New Roman" w:cs="Times New Roman" w:eastAsia="Times New Roman" w:hAnsi="Times New Roman"/>
          <w:sz w:val="17"/>
          <w:szCs w:val="17"/>
          <w:color w:val="auto"/>
        </w:rPr>
      </w:pPr>
    </w:p>
    <w:p>
      <w:pPr>
        <w:ind w:left="940" w:right="420" w:hanging="318"/>
        <w:spacing w:after="0" w:line="287" w:lineRule="auto"/>
        <w:tabs>
          <w:tab w:leader="none" w:pos="93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introductions and announcements of new products by us, our collaboration partners, or our competitors, and the timing of these introductions or announcements;</w:t>
      </w:r>
    </w:p>
    <w:p>
      <w:pPr>
        <w:spacing w:after="0" w:line="3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taken by regulatory agencies with respect to our drug candidates, clinical trials, manufacturing process or sales and marketing terms;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variations in our financial results or in those of companies that are perceived to be similar to us;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efforts to acquire or in-license additional technologies, products or drug candidates;</w:t>
      </w:r>
    </w:p>
    <w:p>
      <w:pPr>
        <w:spacing w:after="0" w:line="101" w:lineRule="exact"/>
        <w:rPr>
          <w:rFonts w:ascii="Times New Roman" w:cs="Times New Roman" w:eastAsia="Times New Roman" w:hAnsi="Times New Roman"/>
          <w:sz w:val="17"/>
          <w:szCs w:val="17"/>
          <w:color w:val="auto"/>
        </w:rPr>
      </w:pPr>
    </w:p>
    <w:p>
      <w:pPr>
        <w:ind w:left="940" w:right="220" w:hanging="318"/>
        <w:spacing w:after="0" w:line="271" w:lineRule="auto"/>
        <w:tabs>
          <w:tab w:leader="none" w:pos="93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concerning our current or future collaborations, including but not limited to those with our sources of manufacturing supply and our commercialization partners;</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conditions in the pharmaceutical and biotechnology sectors;</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acquisitions, strategic collaborations, joint ventures or capital commitments;</w:t>
      </w:r>
    </w:p>
    <w:p>
      <w:pPr>
        <w:spacing w:after="0" w:line="101" w:lineRule="exact"/>
        <w:rPr>
          <w:rFonts w:ascii="Times New Roman" w:cs="Times New Roman" w:eastAsia="Times New Roman" w:hAnsi="Times New Roman"/>
          <w:sz w:val="17"/>
          <w:szCs w:val="17"/>
          <w:color w:val="auto"/>
        </w:rPr>
      </w:pPr>
    </w:p>
    <w:p>
      <w:pPr>
        <w:ind w:left="940" w:right="740" w:hanging="318"/>
        <w:spacing w:after="0" w:line="287" w:lineRule="auto"/>
        <w:tabs>
          <w:tab w:leader="none" w:pos="93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patents or other proprietary rights, including patents, litigation matters and our ability to obtain patent protection for our drug candidates and products;</w:t>
      </w:r>
    </w:p>
    <w:p>
      <w:pPr>
        <w:spacing w:after="0" w:line="3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or inability to raise additional capital and the terms on which any additional capital is raised;</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recruitment or departure of key personnel;</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structure of healthcare payment systems;</w:t>
      </w:r>
    </w:p>
    <w:p>
      <w:pPr>
        <w:spacing w:after="0" w:line="101" w:lineRule="exact"/>
        <w:rPr>
          <w:rFonts w:ascii="Times New Roman" w:cs="Times New Roman" w:eastAsia="Times New Roman" w:hAnsi="Times New Roman"/>
          <w:sz w:val="17"/>
          <w:szCs w:val="17"/>
          <w:color w:val="auto"/>
        </w:rPr>
      </w:pPr>
    </w:p>
    <w:p>
      <w:pPr>
        <w:ind w:left="940" w:right="700" w:hanging="318"/>
        <w:spacing w:after="0" w:line="271" w:lineRule="auto"/>
        <w:tabs>
          <w:tab w:leader="none" w:pos="93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earnings estimates or changes in stock market analyst recommendations regarding our common stock, other comparable companies or our industry generally;</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or the failure of our competitors to meet analysts’ projections or guidance that we or our competitors may provide to the market;</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valuation of companies perceived by investors to be comparable to us;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 and expectation of additional financing efforts;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speculation in the press or investment community;</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volume of our common stock;</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our common stock by us or our stockholders;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concentrated ownership of our common stock;</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principles;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events;</w:t>
      </w:r>
    </w:p>
    <w:p>
      <w:pPr>
        <w:spacing w:after="0" w:line="113" w:lineRule="exact"/>
        <w:rPr>
          <w:rFonts w:ascii="Times New Roman" w:cs="Times New Roman" w:eastAsia="Times New Roman" w:hAnsi="Times New Roman"/>
          <w:sz w:val="17"/>
          <w:szCs w:val="17"/>
          <w:color w:val="auto"/>
        </w:rPr>
      </w:pPr>
    </w:p>
    <w:p>
      <w:pPr>
        <w:ind w:left="940" w:right="60" w:hanging="318"/>
        <w:spacing w:after="0" w:line="271" w:lineRule="auto"/>
        <w:tabs>
          <w:tab w:leader="none" w:pos="93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terrorist acts, acts of war or periods of widespread civil unrest, including the increasingly volatile global economic conditions resulting from regional conflicts around the world;</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effects of public health crises, pandemics and epidemics;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and other calamities; and</w:t>
      </w:r>
    </w:p>
    <w:p>
      <w:pPr>
        <w:spacing w:after="0" w:line="101" w:lineRule="exact"/>
        <w:rPr>
          <w:rFonts w:ascii="Times New Roman" w:cs="Times New Roman" w:eastAsia="Times New Roman" w:hAnsi="Times New Roman"/>
          <w:sz w:val="17"/>
          <w:szCs w:val="17"/>
          <w:color w:val="auto"/>
        </w:rPr>
      </w:pPr>
    </w:p>
    <w:p>
      <w:pPr>
        <w:ind w:left="940" w:right="120" w:hanging="318"/>
        <w:spacing w:after="0" w:line="262" w:lineRule="auto"/>
        <w:tabs>
          <w:tab w:leader="none" w:pos="93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industry and market conditions, including increasing interest rates, inflation, uncertainty with respect to the federal budget and debt ceiling and potential government shutdowns related thereto, instability in the global banking system and the possibility of a recession or further economic downturn.</w:t>
      </w:r>
    </w:p>
    <w:p>
      <w:pPr>
        <w:spacing w:after="0" w:line="56"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17"/>
          <w:szCs w:val="17"/>
          <w:color w:val="auto"/>
        </w:rPr>
        <w:t>In addition, the stock market in general, and the markets for pharmaceutical, biopharmaceutical and biotechnology stocks in particular, have experienced extreme price and volume fluctuations that often have been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sale of a substantial number of shares of our common stock may cause the price of our common stock to decline.</w:t>
      </w:r>
    </w:p>
    <w:p>
      <w:pPr>
        <w:spacing w:after="0" w:line="120"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76" w:lineRule="exact"/>
        <w:rPr>
          <w:sz w:val="20"/>
          <w:szCs w:val="20"/>
          <w:color w:val="auto"/>
        </w:rPr>
      </w:pPr>
    </w:p>
    <w:p>
      <w:pPr>
        <w:ind w:right="220" w:firstLine="619"/>
        <w:spacing w:after="0" w:line="248" w:lineRule="auto"/>
        <w:rPr>
          <w:sz w:val="20"/>
          <w:szCs w:val="20"/>
          <w:color w:val="auto"/>
        </w:rPr>
      </w:pPr>
      <w:r>
        <w:rPr>
          <w:rFonts w:ascii="Times New Roman" w:cs="Times New Roman" w:eastAsia="Times New Roman" w:hAnsi="Times New Roman"/>
          <w:sz w:val="17"/>
          <w:szCs w:val="17"/>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vesting and settlement of outstanding restricted stock units, or the perception that such sales may occur, could adversely affect the market price of our common stock.</w:t>
      </w:r>
    </w:p>
    <w:p>
      <w:pPr>
        <w:spacing w:after="0" w:line="82" w:lineRule="exact"/>
        <w:rPr>
          <w:sz w:val="20"/>
          <w:szCs w:val="20"/>
          <w:color w:val="auto"/>
        </w:rPr>
      </w:pPr>
    </w:p>
    <w:p>
      <w:pPr>
        <w:ind w:right="220" w:firstLine="619"/>
        <w:spacing w:after="0" w:line="254" w:lineRule="auto"/>
        <w:rPr>
          <w:sz w:val="20"/>
          <w:szCs w:val="20"/>
          <w:color w:val="auto"/>
        </w:rPr>
      </w:pPr>
      <w:r>
        <w:rPr>
          <w:rFonts w:ascii="Times New Roman" w:cs="Times New Roman" w:eastAsia="Times New Roman" w:hAnsi="Times New Roman"/>
          <w:sz w:val="17"/>
          <w:szCs w:val="17"/>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200" w:lineRule="exact"/>
        <w:rPr>
          <w:sz w:val="20"/>
          <w:szCs w:val="20"/>
          <w:color w:val="auto"/>
        </w:rPr>
      </w:pPr>
    </w:p>
    <w:p>
      <w:pPr>
        <w:spacing w:after="0" w:line="34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43"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17"/>
          <w:szCs w:val="17"/>
          <w:color w:val="auto"/>
        </w:rPr>
        <w:t>The trading market for our common stock is and will be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future sale and issuance of equity or of debt securities that are convertible into equity will dilute our share capital.</w:t>
      </w:r>
    </w:p>
    <w:p>
      <w:pPr>
        <w:spacing w:after="0" w:line="120"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We may choose to raise additional capital in the future, depending on market conditions, strategic considerations and operational requirements. For example, in March 2021, we sold an additional 5,175,000 shares of our common stock in a follow-on public offering; in July 2022, we entered into separate Securities Purchase Agreements with certain purchasers to issue and sell pre-funded warrants to purchase an aggregate of 6,814,920 shares of our common stock in registered direct offerings; and in April 2024, we sold an additional 11,916,667 shares of our common stock and pre-funded warrants to purchase an aggregate of 1,500,100 shares of our common stock in a public offering. Such pre-funded warrants are immediately exercisable, have an exercise price of $0.001 and may be exercised at any time after the date of issuance.</w:t>
      </w:r>
    </w:p>
    <w:p>
      <w:pPr>
        <w:spacing w:after="0" w:line="82"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In addition, we currently have on file with the SEC an automatic shelf registration statement on Form S-3 which allows us to offer and sell our registered common stock, preferred stock, debt securities, warrants, subscriptions rights and or units from time to time pursuant to one or more offerings at prices and terms to be determined at the time of sale. In August 2021, we entered into an Equity Distribution Agreement (Equity Distribution Agreement) with Piper Sandler &amp; Co. (Piper Sandler) pursuant to which, from time to time, we may offer and sell through Piper Sandler up to $150.0 million of the common stock registered under the shelf registration statement pursuant to one or more “at the market” offerings. In June 2022, we issued and sold 2,000,000 shares of common stock and in May 2024, we issued and sold 3,194,809 shares of our common stock under the Equity Distribution Agreement to Piper Sandler. As of May 31, 2024, we had $79.8 million of common stock remaining available for sale pursuant to the Equity Distribution Agreement. In July 2024, we amended the Equity Distribution Agreement to provide for offerings of up to $150.0 million. As of July 11, 2024, we had $150.0 million of common stock remaining available for sale pursuant to the Equity Distribution Agreement. Sales of our common stock under the Equity Distribution Agreement with Piper Sandler could be subject to business, economic or competitive uncertainties and contingencies, many of which may be beyond our control, and which could cause actual results from the sale of our common stock to differ materially from expectations. In addition, in July 2022, we entered into separate Securities Purchase Agreements with certain purchasers to issue and sell pre-funded warrants to purchase an aggregate of 6,814,920 shares of our common stock in registered direct offerings. Such pre-funded warrants are immediately exercisable, have an exercise price of $0.001 and may be exercised at any time after the date of issuance. To the extent additional capital is raised through the sale and issuance of shares or other securities convertible into shares, the ownership interest of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174" w:lineRule="exact"/>
        <w:rPr>
          <w:sz w:val="20"/>
          <w:szCs w:val="20"/>
          <w:color w:val="auto"/>
        </w:rPr>
      </w:pPr>
    </w:p>
    <w:p>
      <w:pPr>
        <w:ind w:right="4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will not receive a significant amount, or potentially any, additional funds upon the exercise of our pre-funded warrants; however, any exercise would increase the number of shares eligible for future resale in the public market and result in substantial dilution to our stockholders.</w:t>
      </w:r>
    </w:p>
    <w:p>
      <w:pPr>
        <w:spacing w:after="0" w:line="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As of May 31, 2024, we have issued pre-funded warrants to purchase a total of 8,315,020 shares of our common stock, of which 7,597,660 were</w:t>
      </w:r>
    </w:p>
    <w:p>
      <w:pPr>
        <w:spacing w:after="0" w:line="28"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7"/>
          <w:szCs w:val="17"/>
          <w:color w:val="auto"/>
        </w:rPr>
        <w:t>outstanding as of May 31, 2024. Each pre-funded warrant is exercisable for $0.001 per share of common stock underlying such pre-funded warrant, which may be paid by way of a cashless exercise, meaning that the holder may not pay a cash purchase price upon exercise, but instead would receive upon such exercise the net number of shares of common stock determined according to the formula set forth in the pre-funded warrant. Accordingly, we will not receive a significant amount, or potentially any, additional funds upon the exercise of the pre-funded warrants. To the extent such pre-funded warrants are exercised, additional shares of common stock will be issued for nominal or no additional consideration, which will result in substantial dilution to the then existing holders of our common stock and will increase the number of shares eligible for resale in the public market. Sales of substantial numbers of such shares in the public market could adversely affect the market price of the common stock, causing our stock price to decline.</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is no public market for our pre-funded warrants.</w:t>
      </w:r>
    </w:p>
    <w:p>
      <w:pPr>
        <w:spacing w:after="0" w:line="120" w:lineRule="exact"/>
        <w:rPr>
          <w:sz w:val="20"/>
          <w:szCs w:val="20"/>
          <w:color w:val="auto"/>
        </w:rPr>
      </w:pPr>
    </w:p>
    <w:p>
      <w:pPr>
        <w:jc w:val="both"/>
        <w:ind w:right="100" w:firstLine="619"/>
        <w:spacing w:after="0" w:line="262" w:lineRule="auto"/>
        <w:rPr>
          <w:sz w:val="20"/>
          <w:szCs w:val="20"/>
          <w:color w:val="auto"/>
        </w:rPr>
      </w:pPr>
      <w:r>
        <w:rPr>
          <w:rFonts w:ascii="Times New Roman" w:cs="Times New Roman" w:eastAsia="Times New Roman" w:hAnsi="Times New Roman"/>
          <w:sz w:val="17"/>
          <w:szCs w:val="17"/>
          <w:color w:val="auto"/>
        </w:rPr>
        <w:t>There is no public trading market for our pre-funded warrants issued, and we do not expect a market to develop. In addition, we do not intend to apply to list the pre-funded warrants on any securities exchange or nationally recognized trading system, including the Nasdaq Global Market (Nasdaq). Without an active market, the liquidity of the pre-funded warrants will be limited, and the value of the pre-funded warrants may be adversely impacted.</w:t>
      </w:r>
    </w:p>
    <w:p>
      <w:pPr>
        <w:spacing w:after="0" w:line="56" w:lineRule="exact"/>
        <w:rPr>
          <w:sz w:val="20"/>
          <w:szCs w:val="20"/>
          <w:color w:val="auto"/>
        </w:rPr>
      </w:pPr>
    </w:p>
    <w:p>
      <w:pPr>
        <w:ind w:right="80" w:firstLine="619"/>
        <w:spacing w:after="0" w:line="250" w:lineRule="auto"/>
        <w:rPr>
          <w:sz w:val="20"/>
          <w:szCs w:val="20"/>
          <w:color w:val="auto"/>
        </w:rPr>
      </w:pPr>
      <w:r>
        <w:rPr>
          <w:rFonts w:ascii="Times New Roman" w:cs="Times New Roman" w:eastAsia="Times New Roman" w:hAnsi="Times New Roman"/>
          <w:sz w:val="17"/>
          <w:szCs w:val="17"/>
          <w:color w:val="auto"/>
        </w:rPr>
        <w:t>Additionally, each holder of pre-funded warrants will not be entitled to exercise any portion of any pre-funded warrant, which, upon giving effect to such exercise, would cause (i) the aggregate number of shares of our common stock beneficially owned by the holder (together with its affiliates) to exceed 9.99%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However, any holder may increase or decrease such percentage to any other percentage (not in excess of 19.99%) upon at least 61 days’ prior notice from the holder to us.</w:t>
      </w:r>
    </w:p>
    <w:p>
      <w:pPr>
        <w:spacing w:after="0" w:line="165" w:lineRule="exact"/>
        <w:rPr>
          <w:sz w:val="20"/>
          <w:szCs w:val="20"/>
          <w:color w:val="auto"/>
        </w:rPr>
      </w:pPr>
    </w:p>
    <w:p>
      <w:pPr>
        <w:ind w:right="3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43"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Our restated certificate of incorporation and our amended and restated bylaws contain provisions that could delay or prevent a change in control of our company. These provisions also could make it difficult for stockholders to elect directors who are not nominated by current members of our board of directors or to take other corporate actions, including effecting changes in our management. These provisions:</w:t>
      </w:r>
    </w:p>
    <w:p>
      <w:pPr>
        <w:spacing w:after="0" w:line="56" w:lineRule="exact"/>
        <w:rPr>
          <w:sz w:val="20"/>
          <w:szCs w:val="20"/>
          <w:color w:val="auto"/>
        </w:rPr>
      </w:pPr>
    </w:p>
    <w:p>
      <w:pPr>
        <w:ind w:left="920" w:hanging="298"/>
        <w:spacing w:after="0"/>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classified board of directors so that not all members of our board are elected at one time;</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 only our board of directors to establish the number of directors and fill vacancies on our board;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directors may be removed only “for cause” and only with the approval of two-thirds of our stockholders;</w:t>
      </w:r>
    </w:p>
    <w:p>
      <w:pPr>
        <w:spacing w:after="0" w:line="101" w:lineRule="exact"/>
        <w:rPr>
          <w:rFonts w:ascii="Times New Roman" w:cs="Times New Roman" w:eastAsia="Times New Roman" w:hAnsi="Times New Roman"/>
          <w:sz w:val="17"/>
          <w:szCs w:val="17"/>
          <w:color w:val="auto"/>
        </w:rPr>
      </w:pPr>
    </w:p>
    <w:p>
      <w:pPr>
        <w:ind w:left="940" w:right="320" w:hanging="318"/>
        <w:spacing w:after="0" w:line="271" w:lineRule="auto"/>
        <w:tabs>
          <w:tab w:leader="none" w:pos="93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super-majority voting to amend some provisions in our restated certificate of incorporation and amended and restated bylaws, unless such amendments are approved by two-thirds of our board of directors, in which case stockholders can approve by a simple majority;</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the issuance of “blank check” preferred stock that our board could use to implement a stockholder rights plan;</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eliminate the ability of our stockholders to call special meetings of stockholders;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 stockholder action by written consent, which requires all stockholder actions to be taken at a meeting of our stockholders;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 cumulative voting; and</w:t>
      </w:r>
    </w:p>
    <w:p>
      <w:pPr>
        <w:spacing w:after="0" w:line="101" w:lineRule="exact"/>
        <w:rPr>
          <w:rFonts w:ascii="Times New Roman" w:cs="Times New Roman" w:eastAsia="Times New Roman" w:hAnsi="Times New Roman"/>
          <w:sz w:val="17"/>
          <w:szCs w:val="17"/>
          <w:color w:val="auto"/>
        </w:rPr>
      </w:pPr>
    </w:p>
    <w:p>
      <w:pPr>
        <w:ind w:left="940" w:right="280" w:hanging="318"/>
        <w:spacing w:after="0" w:line="271" w:lineRule="auto"/>
        <w:tabs>
          <w:tab w:leader="none" w:pos="93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advance notice requirements for nominations for election to our board or for proposing matters that can be acted upon by stockholders at annual stockholder meetings.</w:t>
      </w:r>
    </w:p>
    <w:p>
      <w:pPr>
        <w:spacing w:after="0" w:line="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addition, Section 203 of the Delaware General Corporation Law (DGCL) may discourage, delay or prevent a change in control of our company.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203 imposes certain restrictions on mergers, business combinations and other transactions between us and holders of 15% or more of our common stock.</w:t>
      </w:r>
    </w:p>
    <w:p>
      <w:pPr>
        <w:spacing w:after="0" w:line="180"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restated certificate of incorporation and our amended and restated bylaws contain exclusive forum provisions for certain claims, which could limit our stockholders’ ability to obtain a favorable judicial forum for disputes with us or our directors, officers or employees.</w:t>
      </w:r>
    </w:p>
    <w:p>
      <w:pPr>
        <w:spacing w:after="0" w:line="43" w:lineRule="exact"/>
        <w:rPr>
          <w:sz w:val="20"/>
          <w:szCs w:val="20"/>
          <w:color w:val="auto"/>
        </w:rPr>
      </w:pPr>
    </w:p>
    <w:p>
      <w:pPr>
        <w:ind w:right="60" w:firstLine="619"/>
        <w:spacing w:after="0" w:line="254" w:lineRule="auto"/>
        <w:rPr>
          <w:sz w:val="20"/>
          <w:szCs w:val="20"/>
          <w:color w:val="auto"/>
        </w:rPr>
      </w:pPr>
      <w:r>
        <w:rPr>
          <w:rFonts w:ascii="Times New Roman" w:cs="Times New Roman" w:eastAsia="Times New Roman" w:hAnsi="Times New Roman"/>
          <w:sz w:val="17"/>
          <w:szCs w:val="17"/>
          <w:color w:val="auto"/>
        </w:rPr>
        <w:t>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17"/>
          <w:szCs w:val="17"/>
          <w:color w:val="auto"/>
        </w:rPr>
        <w:t>Moreover, Section 22 of the Securities Act of 1933, as amended (the Securities Act) creates concurrent jurisdiction for federal and state courts over all claims brought to enforce any duty or liability created by the Securities Act or the rules and regulations thereunder and our amended and restated bylaws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71" w:lineRule="exact"/>
        <w:rPr>
          <w:sz w:val="20"/>
          <w:szCs w:val="20"/>
          <w:color w:val="auto"/>
        </w:rPr>
      </w:pPr>
    </w:p>
    <w:p>
      <w:pPr>
        <w:ind w:right="40" w:firstLine="619"/>
        <w:spacing w:after="0" w:line="250" w:lineRule="auto"/>
        <w:rPr>
          <w:sz w:val="20"/>
          <w:szCs w:val="20"/>
          <w:color w:val="auto"/>
        </w:rPr>
      </w:pPr>
      <w:r>
        <w:rPr>
          <w:rFonts w:ascii="Times New Roman" w:cs="Times New Roman" w:eastAsia="Times New Roman" w:hAnsi="Times New Roman"/>
          <w:sz w:val="17"/>
          <w:szCs w:val="17"/>
          <w:color w:val="auto"/>
        </w:rPr>
        <w:t>Any person or entity purchasing or otherwise acquiring or holding any interest in any of our securities shall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restated certificate of incorporation and/or amended and restated bylaws to be inapplicable or unenforceable in an action, we may incur additional costs associated with resolving such action in other jurisdictions, which could harm our business, results of operations and financial condition.</w:t>
      </w:r>
    </w:p>
    <w:p>
      <w:pPr>
        <w:spacing w:after="0" w:line="165"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43"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17"/>
          <w:szCs w:val="17"/>
          <w:color w:val="auto"/>
        </w:rPr>
        <w:t>As a public company, we incur significant legal, accounting and other expenses. We are subject to the reporting requirements of the Exchange Act, the Sarbanes-Oxley Act, the Dodd-Frank Wall Street Reform and Consumer Protection Act, the listing requirements of Nasdaq and other applicable securities rules and regulations which impose various requirements on public companies, including establishment and maintenance of effective disclosure and financial controls and corporate governance practices. Compliance with these rules and regulations may strain our financial and management systems, internal controls, and employees. For example, the Exchange Act requires, among other things, that we file annual, quarterly, and current reports with respect to our business and results of operations and the disclosure requirements under the Exchange Act are subject to change from time to time. Complying with these new disclosure obligations once applicable to our company, or any or any additional new disclosure requirements that may apply to us in the future, could cause us to incur substantial costs and could increase negative publicity surrounding any incident that we are required to disclose. Any failure or perceived failure by us to comply with these obligations may also subject us to enforcement action or litigation, any of which could harm our business.</w:t>
      </w:r>
    </w:p>
    <w:p>
      <w:pPr>
        <w:spacing w:after="0" w:line="72"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Therefore, as a result of being a public company, our management and other personnel are required to devote a substantial amount of time to these compliance initiatives. Moreover, these rules and regulations have increased our legal and financial compliance costs and have made some activities more time-consuming and costly. We cannot predict or estimate the amount or timing of additional costs we may incur to respond to these requirements. The impact of these requirements also could make it more difficult for us to attract and retain qualified persons to serve on our board of directors, our board committees or as executive officers. Moreover, these rules and regulations often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effective internal control over financial reporting, our ability to produce accurate and timely financial statements could be impaired, which could harm our results of operations, investors’ views of us and, as a result, the value of our common stock.</w:t>
      </w:r>
    </w:p>
    <w:p>
      <w:pPr>
        <w:spacing w:after="0" w:line="43"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Pursuant to the rules and regulations of the SEC, we are required to furnish a report by our management on, among other things, our internal control over financial reporting. To achieve compliance with these rules and regulations, we engage in a process to document and evaluate our internal control over financial reporting, which is both costly and time-consuming. Effective internal control over financial reporting is necessary for us to provide reliable financial reporting and, together with adequate disclosure controls and procedures, are designed to prevent material misstatements due to fraud or error. Any failure to design new or improved internal controls necessary to address risks of material misstatement in our interim or annual financial statements, or difficulties encountered in their implementation or operation, could cause us to fail to meet our reporting obligations. Ineffective internal control over financial reporting could also cause investors to lose confidence in our reported financial information, which could have a negative effect on the trading price of our common stock.</w:t>
      </w:r>
    </w:p>
    <w:p>
      <w:pPr>
        <w:spacing w:after="0" w:line="69" w:lineRule="exact"/>
        <w:rPr>
          <w:sz w:val="20"/>
          <w:szCs w:val="20"/>
          <w:color w:val="auto"/>
        </w:rPr>
      </w:pPr>
    </w:p>
    <w:p>
      <w:pPr>
        <w:ind w:right="120" w:firstLine="619"/>
        <w:spacing w:after="0" w:line="247" w:lineRule="auto"/>
        <w:rPr>
          <w:sz w:val="20"/>
          <w:szCs w:val="20"/>
          <w:color w:val="auto"/>
        </w:rPr>
      </w:pPr>
      <w:r>
        <w:rPr>
          <w:rFonts w:ascii="Times New Roman" w:cs="Times New Roman" w:eastAsia="Times New Roman" w:hAnsi="Times New Roman"/>
          <w:sz w:val="17"/>
          <w:szCs w:val="17"/>
          <w:color w:val="auto"/>
        </w:rPr>
        <w:t>The reporting on our assessment of the effectiveness of our internal control over financial reporting needs to include disclosure of any material weaknesses identified in our internal control over financial reporting. Moreover, based on the market value of our common stock held by non-affiliates as of May 31, 2024, we will be considered a large accelerated filer under SEC rules effective November 30, 2024, and, as a result, our independent registered public accounting firm will be required to audit the effectiveness of our internal control over financial reporting pursuant to Section 404(b) of the Sarbanes-Oxley Act (Section 404(b)). Compliance with Section 404(b) will result in increased costs, expenses, and management resources. Undetected material weaknesses in our internal control over financial reporting could lead to financial statement restatements and require us to incur the expense of remediation. For example, we previously identified material weaknesses in our internal control over financial reporting for the fiscal year ended November 30, 2021, related to controls over segregation of duties in our journal entry and account reconciliation processes, and certain information technology general controls. The material weaknesses identified did not result in any misstatement of our financial statements and during the year ended November 30, 2022, the material weaknesses was remediated. However, we cannot assure you that the measures we have taken to date, and actions we may take in the future, will prevent or avoid potential future material weaknesses.</w:t>
      </w:r>
    </w:p>
    <w:p>
      <w:pPr>
        <w:spacing w:after="0" w:line="69" w:lineRule="exact"/>
        <w:rPr>
          <w:sz w:val="20"/>
          <w:szCs w:val="20"/>
          <w:color w:val="auto"/>
        </w:rPr>
      </w:pPr>
    </w:p>
    <w:p>
      <w:pPr>
        <w:ind w:right="20" w:firstLine="619"/>
        <w:spacing w:after="0" w:line="262" w:lineRule="auto"/>
        <w:rPr>
          <w:sz w:val="20"/>
          <w:szCs w:val="20"/>
          <w:color w:val="auto"/>
        </w:rPr>
      </w:pPr>
      <w:r>
        <w:rPr>
          <w:rFonts w:ascii="Times New Roman" w:cs="Times New Roman" w:eastAsia="Times New Roman" w:hAnsi="Times New Roman"/>
          <w:sz w:val="17"/>
          <w:szCs w:val="17"/>
          <w:color w:val="auto"/>
        </w:rPr>
        <w:t>We are also required to disclose changes made in our internal control over financial reporting that have materially affected, or are reasonably likely to materially affect, internal control over financial reporting on a quarterly basis. To comply with the requirements of being a public company, we have undertaken, and may need to further undertake in the future, various actions, such as implementing new internal controls and procedures and hiring additional accounting staff.</w:t>
      </w:r>
    </w:p>
    <w:p>
      <w:pPr>
        <w:spacing w:after="0" w:line="56"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17"/>
          <w:szCs w:val="17"/>
          <w:color w:val="auto"/>
        </w:rPr>
        <w:t>Moreover, our current controls and any new controls that we develop may become inadequate because of changes in conditions in our business. Further, material weaknesses in our disclosure controls and procedures and internal control over financial reporting may be discovered in the future. Any failure to develop or maintain effective internal control over financial reporting or any difficulties encountered in their implementation or improvement could harm our results of operations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179"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will no longer qualify as a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smaller reporting company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and, commencing with our quarterly report on Form 10-Q for the fiscal quarter ending February 28, 2025, we may no longer take advantage of reduced disclosure and reporting requirements applicable to smaller reporting companies.</w:t>
      </w:r>
    </w:p>
    <w:p>
      <w:pPr>
        <w:spacing w:after="0" w:line="43"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We currently qualify as a “smaller reporting company” as defined by the SEC and have been able to take advantage of reduced disclosure and reporting requirements applicable to smaller reporting companies. However, based on the market value of our common stock held by our non-affiliates as of May 31, 2024, we will no longer be a smaller reporting company effective November 30, 2024. Therefore, beginning with our quarterly report on Form 10-Q for the fiscal quarter ending February 28, 2025, we will no longer be eligible to rely on the reduced disclosure and reporting requirements applicable to smaller reporting companies. Any failure to comply with the increased disclosure and reporting requirements could have an adverse effect on our business, financial condition and results of operations.</w:t>
      </w:r>
    </w:p>
    <w:p>
      <w:pPr>
        <w:spacing w:after="0" w:line="179"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Because we do not anticipate paying any cash dividends on our capital stock in the foreseeable future, capital appreciation, if any, will be your sole source of gain.</w:t>
      </w:r>
    </w:p>
    <w:p>
      <w:pPr>
        <w:spacing w:after="0" w:line="43" w:lineRule="exact"/>
        <w:rPr>
          <w:sz w:val="20"/>
          <w:szCs w:val="20"/>
          <w:color w:val="auto"/>
        </w:rPr>
      </w:pPr>
    </w:p>
    <w:p>
      <w:pPr>
        <w:ind w:right="140" w:firstLine="619"/>
        <w:spacing w:after="0" w:line="271" w:lineRule="auto"/>
        <w:rPr>
          <w:sz w:val="20"/>
          <w:szCs w:val="20"/>
          <w:color w:val="auto"/>
        </w:rPr>
      </w:pPr>
      <w:r>
        <w:rPr>
          <w:rFonts w:ascii="Times New Roman" w:cs="Times New Roman" w:eastAsia="Times New Roman" w:hAnsi="Times New Roman"/>
          <w:sz w:val="17"/>
          <w:szCs w:val="17"/>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200" w:lineRule="exact"/>
        <w:rPr>
          <w:sz w:val="20"/>
          <w:szCs w:val="20"/>
          <w:color w:val="auto"/>
        </w:rPr>
      </w:pPr>
    </w:p>
    <w:p>
      <w:pPr>
        <w:spacing w:after="0" w:line="3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securities litigation, which is expensive and could divert management attention.</w:t>
      </w:r>
    </w:p>
    <w:p>
      <w:pPr>
        <w:spacing w:after="0" w:line="120"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The market price of our common stock may be volatile.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00" w:lineRule="exact"/>
        <w:rPr>
          <w:sz w:val="20"/>
          <w:szCs w:val="20"/>
          <w:color w:val="auto"/>
        </w:rPr>
      </w:pPr>
    </w:p>
    <w:p>
      <w:pPr>
        <w:spacing w:after="0" w:line="3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80"/>
          </w:cols>
          <w:pgMar w:left="320" w:top="123" w:right="6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Proceeds from Registered Securities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Sales of Equity Securities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Purchases of Equity Securities by Issuers and Affiliated Purchasers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 Director and Section 16 Officer Rule 10b5-1 Trading Arrangements</w:t>
      </w:r>
    </w:p>
    <w:p>
      <w:pPr>
        <w:spacing w:after="0" w:line="101" w:lineRule="exact"/>
        <w:rPr>
          <w:sz w:val="20"/>
          <w:szCs w:val="20"/>
          <w:color w:val="auto"/>
        </w:rPr>
      </w:pPr>
    </w:p>
    <w:p>
      <w:pPr>
        <w:ind w:firstLine="619"/>
        <w:spacing w:after="0" w:line="271" w:lineRule="auto"/>
        <w:rPr>
          <w:sz w:val="20"/>
          <w:szCs w:val="20"/>
          <w:color w:val="auto"/>
        </w:rPr>
      </w:pPr>
      <w:r>
        <w:rPr>
          <w:rFonts w:ascii="Times New Roman" w:cs="Times New Roman" w:eastAsia="Times New Roman" w:hAnsi="Times New Roman"/>
          <w:sz w:val="17"/>
          <w:szCs w:val="17"/>
          <w:color w:val="auto"/>
        </w:rPr>
        <w:t>No director or Section 16 officer of the Company adopted or terminated a “Rule 10b5-1 trading arrangement” or “non-Rule 10b5-1 trading arrangement,” as each term is defined in Item 408(a) of Regulation S-K, during the three months ended May 31, 2024.</w:t>
      </w:r>
    </w:p>
    <w:p>
      <w:pPr>
        <w:spacing w:after="0" w:line="200" w:lineRule="exact"/>
        <w:rPr>
          <w:sz w:val="20"/>
          <w:szCs w:val="20"/>
          <w:color w:val="auto"/>
        </w:rPr>
      </w:pPr>
    </w:p>
    <w:p>
      <w:pPr>
        <w:spacing w:after="0" w:line="3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3"/>
                <w:szCs w:val="3"/>
                <w:color w:val="auto"/>
              </w:rPr>
            </w:pPr>
          </w:p>
        </w:tc>
        <w:tc>
          <w:tcPr>
            <w:tcW w:w="3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 or Furnished</w:t>
            </w:r>
          </w:p>
        </w:tc>
        <w:tc>
          <w:tcPr>
            <w:tcW w:w="0" w:type="dxa"/>
            <w:vAlign w:val="bottom"/>
          </w:tcPr>
          <w:p>
            <w:pPr>
              <w:spacing w:after="0"/>
              <w:rPr>
                <w:sz w:val="1"/>
                <w:szCs w:val="1"/>
                <w:color w:val="auto"/>
              </w:rPr>
            </w:pPr>
          </w:p>
        </w:tc>
      </w:tr>
      <w:tr>
        <w:trPr>
          <w:trHeight w:val="162"/>
        </w:trPr>
        <w:tc>
          <w:tcPr>
            <w:tcW w:w="10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5"/>
                <w:szCs w:val="15"/>
                <w:color w:val="auto"/>
              </w:rPr>
            </w:pPr>
          </w:p>
        </w:tc>
        <w:tc>
          <w:tcPr>
            <w:tcW w:w="4740" w:type="dxa"/>
            <w:vAlign w:val="bottom"/>
            <w:gridSpan w:val="6"/>
          </w:tcPr>
          <w:p>
            <w:pPr>
              <w:ind w:left="2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5"/>
        </w:trPr>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w:t>
            </w:r>
          </w:p>
        </w:tc>
        <w:tc>
          <w:tcPr>
            <w:tcW w:w="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00" w:type="dxa"/>
            <w:vAlign w:val="bottom"/>
            <w:tcBorders>
              <w:top w:val="single" w:sz="8" w:color="0000FF"/>
            </w:tcBorders>
            <w:gridSpan w:val="5"/>
          </w:tcPr>
          <w:p>
            <w:pPr>
              <w:spacing w:after="0" w:line="174" w:lineRule="exact"/>
              <w:rPr>
                <w:sz w:val="20"/>
                <w:szCs w:val="20"/>
                <w:color w:val="auto"/>
              </w:rPr>
            </w:pPr>
            <w:r>
              <w:rPr>
                <w:rFonts w:ascii="Times New Roman" w:cs="Times New Roman" w:eastAsia="Times New Roman" w:hAnsi="Times New Roman"/>
                <w:sz w:val="16"/>
                <w:szCs w:val="16"/>
                <w:color w:val="0000FF"/>
              </w:rPr>
              <w:t>and 15d-14(a) under the Securities Exchange Act of 1934, as Adopted</w:t>
            </w: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80" w:type="dxa"/>
            <w:vAlign w:val="bottom"/>
            <w:tcBorders>
              <w:top w:val="single" w:sz="8" w:color="0000FF"/>
              <w:bottom w:val="single" w:sz="8" w:color="0000FF"/>
            </w:tcBorders>
          </w:tcPr>
          <w:p>
            <w:pPr>
              <w:spacing w:after="0" w:line="174"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700" w:type="dxa"/>
            <w:vAlign w:val="bottom"/>
            <w:tcBorders>
              <w:top w:val="single" w:sz="8" w:color="0000FF"/>
            </w:tcBorders>
            <w:gridSpan w:val="2"/>
          </w:tcPr>
          <w:p>
            <w:pPr>
              <w:spacing w:after="0"/>
              <w:rPr>
                <w:sz w:val="15"/>
                <w:szCs w:val="15"/>
                <w:color w:val="auto"/>
              </w:rPr>
            </w:pPr>
          </w:p>
        </w:tc>
        <w:tc>
          <w:tcPr>
            <w:tcW w:w="160" w:type="dxa"/>
            <w:vAlign w:val="bottom"/>
            <w:gridSpan w:val="3"/>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13a-14(a)</w:t>
            </w:r>
          </w:p>
        </w:tc>
        <w:tc>
          <w:tcPr>
            <w:tcW w:w="8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6"/>
          </w:tcPr>
          <w:p>
            <w:pPr>
              <w:spacing w:after="0" w:line="174" w:lineRule="exact"/>
              <w:rPr>
                <w:sz w:val="20"/>
                <w:szCs w:val="20"/>
                <w:color w:val="auto"/>
              </w:rPr>
            </w:pPr>
            <w:r>
              <w:rPr>
                <w:rFonts w:ascii="Times New Roman" w:cs="Times New Roman" w:eastAsia="Times New Roman" w:hAnsi="Times New Roman"/>
                <w:sz w:val="16"/>
                <w:szCs w:val="16"/>
                <w:color w:val="0000FF"/>
              </w:rPr>
              <w:t>and 15d-14(a) under the Securities Exchange Act of 1934, as Adopted</w:t>
            </w: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80" w:type="dxa"/>
            <w:vAlign w:val="bottom"/>
            <w:tcBorders>
              <w:top w:val="single" w:sz="8" w:color="0000FF"/>
              <w:bottom w:val="single" w:sz="8" w:color="0000FF"/>
            </w:tcBorders>
          </w:tcPr>
          <w:p>
            <w:pPr>
              <w:spacing w:after="0" w:line="174"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700" w:type="dxa"/>
            <w:vAlign w:val="bottom"/>
            <w:tcBorders>
              <w:top w:val="single" w:sz="8" w:color="0000FF"/>
            </w:tcBorders>
            <w:gridSpan w:val="2"/>
          </w:tcPr>
          <w:p>
            <w:pPr>
              <w:spacing w:after="0"/>
              <w:rPr>
                <w:sz w:val="15"/>
                <w:szCs w:val="15"/>
                <w:color w:val="auto"/>
              </w:rPr>
            </w:pPr>
          </w:p>
        </w:tc>
        <w:tc>
          <w:tcPr>
            <w:tcW w:w="160" w:type="dxa"/>
            <w:vAlign w:val="bottom"/>
            <w:gridSpan w:val="3"/>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and Principal Financial and</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tcBorders>
              <w:top w:val="single" w:sz="8" w:color="0000FF"/>
              <w:bottom w:val="single" w:sz="8" w:color="0000FF"/>
            </w:tcBorders>
            <w:gridSpan w:val="2"/>
          </w:tcPr>
          <w:p>
            <w:pPr>
              <w:spacing w:after="0" w:line="174" w:lineRule="exact"/>
              <w:rPr>
                <w:sz w:val="20"/>
                <w:szCs w:val="20"/>
                <w:color w:val="auto"/>
              </w:rPr>
            </w:pPr>
            <w:r>
              <w:rPr>
                <w:rFonts w:ascii="Times New Roman" w:cs="Times New Roman" w:eastAsia="Times New Roman" w:hAnsi="Times New Roman"/>
                <w:sz w:val="16"/>
                <w:szCs w:val="16"/>
                <w:color w:val="0000FF"/>
              </w:rPr>
              <w:t>Accounting Officer Pursuant to 18 U.S.C. Section 1350, as Adopted</w:t>
            </w:r>
          </w:p>
        </w:tc>
        <w:tc>
          <w:tcPr>
            <w:tcW w:w="200" w:type="dxa"/>
            <w:vAlign w:val="bottom"/>
            <w:tcBorders>
              <w:top w:val="single" w:sz="8" w:color="0000FF"/>
            </w:tcBorders>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80" w:type="dxa"/>
            <w:vAlign w:val="bottom"/>
            <w:tcBorders>
              <w:bottom w:val="single" w:sz="8" w:color="0000FF"/>
            </w:tcBorders>
          </w:tcPr>
          <w:p>
            <w:pPr>
              <w:spacing w:after="0" w:line="174" w:lineRule="exact"/>
              <w:rPr>
                <w:sz w:val="20"/>
                <w:szCs w:val="20"/>
                <w:color w:val="auto"/>
              </w:rPr>
            </w:pPr>
            <w:r>
              <w:rPr>
                <w:rFonts w:ascii="Times New Roman" w:cs="Times New Roman" w:eastAsia="Times New Roman" w:hAnsi="Times New Roman"/>
                <w:sz w:val="16"/>
                <w:szCs w:val="16"/>
                <w:color w:val="0000FF"/>
              </w:rPr>
              <w:t>Pursuant to Section 906 of the Sarbanes-Oxley Act of 2002</w:t>
            </w:r>
          </w:p>
        </w:tc>
        <w:tc>
          <w:tcPr>
            <w:tcW w:w="860" w:type="dxa"/>
            <w:vAlign w:val="bottom"/>
            <w:gridSpan w:val="5"/>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6"/>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tcPr>
          <w:p>
            <w:pPr>
              <w:spacing w:after="0"/>
              <w:rPr>
                <w:sz w:val="24"/>
                <w:szCs w:val="24"/>
                <w:color w:val="auto"/>
              </w:rPr>
            </w:pPr>
          </w:p>
        </w:tc>
        <w:tc>
          <w:tcPr>
            <w:tcW w:w="47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93"/>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appear in the Interactive Data File because its XBRL tags are embedded</w:t>
            </w: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within the Inline XBRL document</w:t>
            </w: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24"/>
                <w:szCs w:val="24"/>
                <w:color w:val="auto"/>
              </w:rPr>
            </w:pPr>
          </w:p>
        </w:tc>
        <w:tc>
          <w:tcPr>
            <w:tcW w:w="47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9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tcPr>
          <w:p>
            <w:pPr>
              <w:spacing w:after="0"/>
              <w:rPr>
                <w:sz w:val="24"/>
                <w:szCs w:val="24"/>
                <w:color w:val="auto"/>
              </w:rPr>
            </w:pPr>
          </w:p>
        </w:tc>
        <w:tc>
          <w:tcPr>
            <w:tcW w:w="47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9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tcPr>
          <w:p>
            <w:pPr>
              <w:spacing w:after="0"/>
              <w:rPr>
                <w:sz w:val="24"/>
                <w:szCs w:val="24"/>
                <w:color w:val="auto"/>
              </w:rPr>
            </w:pPr>
          </w:p>
        </w:tc>
        <w:tc>
          <w:tcPr>
            <w:tcW w:w="47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9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tcPr>
          <w:p>
            <w:pPr>
              <w:spacing w:after="0"/>
              <w:rPr>
                <w:sz w:val="24"/>
                <w:szCs w:val="24"/>
                <w:color w:val="auto"/>
              </w:rPr>
            </w:pPr>
          </w:p>
        </w:tc>
        <w:tc>
          <w:tcPr>
            <w:tcW w:w="47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9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24"/>
                <w:szCs w:val="24"/>
                <w:color w:val="auto"/>
              </w:rPr>
            </w:pPr>
          </w:p>
        </w:tc>
        <w:tc>
          <w:tcPr>
            <w:tcW w:w="47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78"/>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11"/>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included in exhibit 101)</w:t>
            </w: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36836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83635" cy="8255"/>
                    </a:xfrm>
                    <a:prstGeom prst="rect">
                      <a:avLst/>
                    </a:prstGeom>
                    <a:noFill/>
                  </pic:spPr>
                </pic:pic>
              </a:graphicData>
            </a:graphic>
          </wp:anchor>
        </w:drawing>
      </w:r>
    </w:p>
    <w:p>
      <w:pPr>
        <w:spacing w:after="0" w:line="115" w:lineRule="exact"/>
        <w:rPr>
          <w:sz w:val="20"/>
          <w:szCs w:val="20"/>
          <w:color w:val="auto"/>
        </w:rPr>
      </w:pPr>
    </w:p>
    <w:p>
      <w:pPr>
        <w:ind w:left="1060" w:right="260" w:hanging="1040"/>
        <w:spacing w:after="0" w:line="271" w:lineRule="auto"/>
        <w:tabs>
          <w:tab w:leader="none" w:pos="10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certifications furnished in Exhibits 32.1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05"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8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b w:val="1"/>
          <w:bCs w:val="1"/>
          <w:color w:val="auto"/>
        </w:rPr>
        <w:t>NURIX THERAPEUTICS, INC.</w:t>
      </w:r>
    </w:p>
    <w:p>
      <w:pPr>
        <w:spacing w:after="0" w:line="324" w:lineRule="exact"/>
        <w:rPr>
          <w:sz w:val="20"/>
          <w:szCs w:val="20"/>
          <w:color w:val="auto"/>
        </w:rPr>
      </w:pPr>
    </w:p>
    <w:p>
      <w:pPr>
        <w:ind w:left="640"/>
        <w:spacing w:after="0"/>
        <w:tabs>
          <w:tab w:leader="none" w:pos="5360" w:val="left"/>
          <w:tab w:leader="none" w:pos="7660" w:val="left"/>
        </w:tabs>
        <w:rPr>
          <w:sz w:val="20"/>
          <w:szCs w:val="20"/>
          <w:color w:val="auto"/>
        </w:rPr>
      </w:pPr>
      <w:r>
        <w:rPr>
          <w:rFonts w:ascii="Times New Roman" w:cs="Times New Roman" w:eastAsia="Times New Roman" w:hAnsi="Times New Roman"/>
          <w:sz w:val="17"/>
          <w:szCs w:val="17"/>
          <w:color w:val="auto"/>
        </w:rPr>
        <w:t>Date: July 11,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A</w:t>
      </w:r>
      <w:r>
        <w:rPr>
          <w:rFonts w:ascii="Times New Roman" w:cs="Times New Roman" w:eastAsia="Times New Roman" w:hAnsi="Times New Roman"/>
          <w:sz w:val="13"/>
          <w:szCs w:val="13"/>
          <w:color w:val="auto"/>
        </w:rPr>
        <w:t>RTHUR</w:t>
      </w:r>
      <w:r>
        <w:rPr>
          <w:rFonts w:ascii="Times New Roman" w:cs="Times New Roman" w:eastAsia="Times New Roman" w:hAnsi="Times New Roman"/>
          <w:sz w:val="17"/>
          <w:szCs w:val="17"/>
          <w:color w:val="auto"/>
        </w:rPr>
        <w:t xml:space="preserve"> T. S</w:t>
      </w:r>
      <w:r>
        <w:rPr>
          <w:rFonts w:ascii="Times New Roman" w:cs="Times New Roman" w:eastAsia="Times New Roman" w:hAnsi="Times New Roman"/>
          <w:sz w:val="13"/>
          <w:szCs w:val="13"/>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3693795</wp:posOffset>
            </wp:positionH>
            <wp:positionV relativeFrom="paragraph">
              <wp:posOffset>33655</wp:posOffset>
            </wp:positionV>
            <wp:extent cx="33153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15335" cy="8255"/>
                    </a:xfrm>
                    <a:prstGeom prst="rect">
                      <a:avLst/>
                    </a:prstGeom>
                    <a:noFill/>
                  </pic:spPr>
                </pic:pic>
              </a:graphicData>
            </a:graphic>
          </wp:anchor>
        </w:drawing>
      </w:r>
    </w:p>
    <w:p>
      <w:pPr>
        <w:spacing w:after="0" w:line="55"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7"/>
          <w:szCs w:val="17"/>
          <w:color w:val="auto"/>
        </w:rPr>
        <w:t>Arthur T. Sands, M.D., Ph.D.</w:t>
      </w:r>
    </w:p>
    <w:p>
      <w:pPr>
        <w:spacing w:after="0" w:line="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spacing w:after="0" w:line="28"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303" w:lineRule="exact"/>
        <w:rPr>
          <w:sz w:val="20"/>
          <w:szCs w:val="20"/>
          <w:color w:val="auto"/>
        </w:rPr>
      </w:pPr>
    </w:p>
    <w:p>
      <w:pPr>
        <w:ind w:left="640"/>
        <w:spacing w:after="0"/>
        <w:tabs>
          <w:tab w:leader="none" w:pos="5360" w:val="left"/>
          <w:tab w:leader="none" w:pos="7680" w:val="left"/>
        </w:tabs>
        <w:rPr>
          <w:sz w:val="20"/>
          <w:szCs w:val="20"/>
          <w:color w:val="auto"/>
        </w:rPr>
      </w:pPr>
      <w:r>
        <w:rPr>
          <w:rFonts w:ascii="Times New Roman" w:cs="Times New Roman" w:eastAsia="Times New Roman" w:hAnsi="Times New Roman"/>
          <w:sz w:val="17"/>
          <w:szCs w:val="17"/>
          <w:color w:val="auto"/>
        </w:rPr>
        <w:t>Date: July 11,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H</w:t>
      </w:r>
      <w:r>
        <w:rPr>
          <w:rFonts w:ascii="Times New Roman" w:cs="Times New Roman" w:eastAsia="Times New Roman" w:hAnsi="Times New Roman"/>
          <w:sz w:val="13"/>
          <w:szCs w:val="13"/>
          <w:color w:val="auto"/>
        </w:rPr>
        <w:t>ANS VAN</w:t>
      </w:r>
      <w:r>
        <w:rPr>
          <w:rFonts w:ascii="Times New Roman" w:cs="Times New Roman" w:eastAsia="Times New Roman" w:hAnsi="Times New Roman"/>
          <w:sz w:val="17"/>
          <w:szCs w:val="17"/>
          <w:color w:val="auto"/>
        </w:rPr>
        <w:t xml:space="preserve"> H</w:t>
      </w:r>
      <w:r>
        <w:rPr>
          <w:rFonts w:ascii="Times New Roman" w:cs="Times New Roman" w:eastAsia="Times New Roman" w:hAnsi="Times New Roman"/>
          <w:sz w:val="13"/>
          <w:szCs w:val="13"/>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3693795</wp:posOffset>
            </wp:positionH>
            <wp:positionV relativeFrom="paragraph">
              <wp:posOffset>33655</wp:posOffset>
            </wp:positionV>
            <wp:extent cx="33153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15335" cy="8255"/>
                    </a:xfrm>
                    <a:prstGeom prst="rect">
                      <a:avLst/>
                    </a:prstGeom>
                    <a:noFill/>
                  </pic:spPr>
                </pic:pic>
              </a:graphicData>
            </a:graphic>
          </wp:anchor>
        </w:drawing>
      </w:r>
    </w:p>
    <w:p>
      <w:pPr>
        <w:spacing w:after="0" w:line="5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Hans van Houte</w:t>
      </w:r>
    </w:p>
    <w:p>
      <w:pPr>
        <w:spacing w:after="0" w:line="6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97</w:t>
      </w:r>
    </w:p>
    <w:p>
      <w:pPr>
        <w:sectPr>
          <w:pgSz w:w="11900" w:h="16838" w:orient="portrait"/>
          <w:cols w:equalWidth="0" w:num="1">
            <w:col w:w="11080"/>
          </w:cols>
          <w:pgMar w:left="320" w:top="123" w:right="49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Arthur T. Sands, certify that:</w:t>
      </w:r>
    </w:p>
    <w:p>
      <w:pPr>
        <w:spacing w:after="0" w:line="114" w:lineRule="exact"/>
        <w:rPr>
          <w:sz w:val="20"/>
          <w:szCs w:val="20"/>
          <w:color w:val="auto"/>
        </w:rPr>
      </w:pPr>
    </w:p>
    <w:p>
      <w:pPr>
        <w:ind w:left="620" w:hanging="617"/>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Nurix Therapeutics, Inc.;</w:t>
      </w:r>
    </w:p>
    <w:p>
      <w:pPr>
        <w:spacing w:after="0" w:line="113" w:lineRule="exact"/>
        <w:rPr>
          <w:rFonts w:ascii="Times New Roman" w:cs="Times New Roman" w:eastAsia="Times New Roman" w:hAnsi="Times New Roman"/>
          <w:sz w:val="17"/>
          <w:szCs w:val="17"/>
          <w:color w:val="auto"/>
        </w:rPr>
      </w:pPr>
    </w:p>
    <w:p>
      <w:pPr>
        <w:ind w:left="620" w:right="140" w:hanging="617"/>
        <w:spacing w:after="0" w:line="287" w:lineRule="auto"/>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left="620" w:right="580" w:hanging="617"/>
        <w:spacing w:after="0" w:line="287" w:lineRule="auto"/>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Times New Roman" w:cs="Times New Roman" w:eastAsia="Times New Roman" w:hAnsi="Times New Roman"/>
          <w:sz w:val="17"/>
          <w:szCs w:val="17"/>
          <w:color w:val="auto"/>
        </w:rPr>
      </w:pPr>
    </w:p>
    <w:p>
      <w:pPr>
        <w:ind w:left="620" w:right="80" w:hanging="617"/>
        <w:spacing w:after="0" w:line="270" w:lineRule="auto"/>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7"/>
          <w:szCs w:val="17"/>
          <w:color w:val="auto"/>
        </w:rPr>
      </w:pPr>
    </w:p>
    <w:p>
      <w:pPr>
        <w:ind w:left="1240" w:right="260" w:hanging="618"/>
        <w:spacing w:after="0" w:line="270" w:lineRule="auto"/>
        <w:tabs>
          <w:tab w:leader="none" w:pos="123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ind w:left="1240" w:right="560" w:hanging="618"/>
        <w:spacing w:after="0" w:line="270" w:lineRule="auto"/>
        <w:tabs>
          <w:tab w:leader="none" w:pos="124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jc w:val="both"/>
        <w:ind w:left="1240" w:right="720" w:hanging="618"/>
        <w:spacing w:after="0" w:line="287" w:lineRule="auto"/>
        <w:tabs>
          <w:tab w:leader="none" w:pos="123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ind w:left="1240" w:right="240" w:hanging="618"/>
        <w:spacing w:after="0" w:line="270" w:lineRule="auto"/>
        <w:tabs>
          <w:tab w:leader="none" w:pos="124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7"/>
          <w:szCs w:val="17"/>
          <w:color w:val="auto"/>
        </w:rPr>
      </w:pPr>
    </w:p>
    <w:p>
      <w:pPr>
        <w:ind w:left="620" w:right="520" w:hanging="617"/>
        <w:spacing w:after="0" w:line="287" w:lineRule="auto"/>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1240" w:right="160" w:hanging="618"/>
        <w:spacing w:after="0" w:line="287" w:lineRule="auto"/>
        <w:tabs>
          <w:tab w:leader="none" w:pos="123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1240" w:right="120" w:hanging="618"/>
        <w:spacing w:after="0" w:line="287" w:lineRule="auto"/>
        <w:tabs>
          <w:tab w:leader="none" w:pos="124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5420"/>
        <w:spacing w:after="0"/>
        <w:tabs>
          <w:tab w:leader="none" w:pos="5860" w:val="left"/>
        </w:tabs>
        <w:rPr>
          <w:sz w:val="20"/>
          <w:szCs w:val="20"/>
          <w:color w:val="auto"/>
        </w:rPr>
      </w:pPr>
      <w:r>
        <w:rPr>
          <w:rFonts w:ascii="Times New Roman" w:cs="Times New Roman" w:eastAsia="Times New Roman" w:hAnsi="Times New Roman"/>
          <w:sz w:val="17"/>
          <w:szCs w:val="17"/>
          <w:color w:val="auto"/>
        </w:rPr>
        <w:t>By:</w:t>
        <w:tab/>
        <w:t>/s/ A</w:t>
      </w:r>
      <w:r>
        <w:rPr>
          <w:rFonts w:ascii="Times New Roman" w:cs="Times New Roman" w:eastAsia="Times New Roman" w:hAnsi="Times New Roman"/>
          <w:sz w:val="13"/>
          <w:szCs w:val="13"/>
          <w:color w:val="auto"/>
        </w:rPr>
        <w:t>RTHUR</w:t>
      </w:r>
      <w:r>
        <w:rPr>
          <w:rFonts w:ascii="Times New Roman" w:cs="Times New Roman" w:eastAsia="Times New Roman" w:hAnsi="Times New Roman"/>
          <w:sz w:val="17"/>
          <w:szCs w:val="17"/>
          <w:color w:val="auto"/>
        </w:rPr>
        <w:t xml:space="preserve"> T. S</w:t>
      </w:r>
      <w:r>
        <w:rPr>
          <w:rFonts w:ascii="Times New Roman" w:cs="Times New Roman" w:eastAsia="Times New Roman" w:hAnsi="Times New Roman"/>
          <w:sz w:val="13"/>
          <w:szCs w:val="13"/>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25400</wp:posOffset>
            </wp:positionV>
            <wp:extent cx="34137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2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Arthur T. Sands, M.D., Ph.D.</w:t>
      </w:r>
    </w:p>
    <w:p>
      <w:pPr>
        <w:spacing w:after="0" w:line="2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spacing w:after="0" w:line="2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July 11, 2024</w:t>
      </w:r>
    </w:p>
    <w:p>
      <w:pPr>
        <w:sectPr>
          <w:pgSz w:w="11900" w:h="16838" w:orient="portrait"/>
          <w:cols w:equalWidth="0" w:num="1">
            <w:col w:w="11240"/>
          </w:cols>
          <w:pgMar w:left="320" w:top="1099"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AND ACCOUNTING OFFICER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Hans van Houte, certify that:</w:t>
      </w:r>
    </w:p>
    <w:p>
      <w:pPr>
        <w:spacing w:after="0" w:line="114" w:lineRule="exact"/>
        <w:rPr>
          <w:sz w:val="20"/>
          <w:szCs w:val="20"/>
          <w:color w:val="auto"/>
        </w:rPr>
      </w:pPr>
    </w:p>
    <w:p>
      <w:pPr>
        <w:ind w:left="620" w:hanging="617"/>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Nurix Therapeutics, Inc.;</w:t>
      </w:r>
    </w:p>
    <w:p>
      <w:pPr>
        <w:spacing w:after="0" w:line="113" w:lineRule="exact"/>
        <w:rPr>
          <w:rFonts w:ascii="Times New Roman" w:cs="Times New Roman" w:eastAsia="Times New Roman" w:hAnsi="Times New Roman"/>
          <w:sz w:val="17"/>
          <w:szCs w:val="17"/>
          <w:color w:val="auto"/>
        </w:rPr>
      </w:pPr>
    </w:p>
    <w:p>
      <w:pPr>
        <w:ind w:left="620" w:right="140" w:hanging="617"/>
        <w:spacing w:after="0" w:line="287" w:lineRule="auto"/>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left="620" w:right="580" w:hanging="617"/>
        <w:spacing w:after="0" w:line="287" w:lineRule="auto"/>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Times New Roman" w:cs="Times New Roman" w:eastAsia="Times New Roman" w:hAnsi="Times New Roman"/>
          <w:sz w:val="17"/>
          <w:szCs w:val="17"/>
          <w:color w:val="auto"/>
        </w:rPr>
      </w:pPr>
    </w:p>
    <w:p>
      <w:pPr>
        <w:ind w:left="620" w:right="80" w:hanging="617"/>
        <w:spacing w:after="0" w:line="270" w:lineRule="auto"/>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7"/>
          <w:szCs w:val="17"/>
          <w:color w:val="auto"/>
        </w:rPr>
      </w:pPr>
    </w:p>
    <w:p>
      <w:pPr>
        <w:ind w:left="1240" w:right="260" w:hanging="618"/>
        <w:spacing w:after="0" w:line="270" w:lineRule="auto"/>
        <w:tabs>
          <w:tab w:leader="none" w:pos="123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ind w:left="1240" w:right="560" w:hanging="618"/>
        <w:spacing w:after="0" w:line="270" w:lineRule="auto"/>
        <w:tabs>
          <w:tab w:leader="none" w:pos="124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jc w:val="both"/>
        <w:ind w:left="1240" w:right="720" w:hanging="618"/>
        <w:spacing w:after="0" w:line="287" w:lineRule="auto"/>
        <w:tabs>
          <w:tab w:leader="none" w:pos="123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ind w:left="1240" w:right="240" w:hanging="618"/>
        <w:spacing w:after="0" w:line="270" w:lineRule="auto"/>
        <w:tabs>
          <w:tab w:leader="none" w:pos="124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7"/>
          <w:szCs w:val="17"/>
          <w:color w:val="auto"/>
        </w:rPr>
      </w:pPr>
    </w:p>
    <w:p>
      <w:pPr>
        <w:ind w:left="620" w:right="520" w:hanging="617"/>
        <w:spacing w:after="0" w:line="287" w:lineRule="auto"/>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1240" w:right="160" w:hanging="618"/>
        <w:spacing w:after="0" w:line="287" w:lineRule="auto"/>
        <w:tabs>
          <w:tab w:leader="none" w:pos="123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1240" w:right="120" w:hanging="618"/>
        <w:spacing w:after="0" w:line="287" w:lineRule="auto"/>
        <w:tabs>
          <w:tab w:leader="none" w:pos="124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5420"/>
        <w:spacing w:after="0"/>
        <w:tabs>
          <w:tab w:leader="none" w:pos="5860" w:val="left"/>
        </w:tabs>
        <w:rPr>
          <w:sz w:val="20"/>
          <w:szCs w:val="20"/>
          <w:color w:val="auto"/>
        </w:rPr>
      </w:pPr>
      <w:r>
        <w:rPr>
          <w:rFonts w:ascii="Times New Roman" w:cs="Times New Roman" w:eastAsia="Times New Roman" w:hAnsi="Times New Roman"/>
          <w:sz w:val="17"/>
          <w:szCs w:val="17"/>
          <w:color w:val="auto"/>
        </w:rPr>
        <w:t>By:</w:t>
        <w:tab/>
        <w:t>/s/ H</w:t>
      </w:r>
      <w:r>
        <w:rPr>
          <w:rFonts w:ascii="Times New Roman" w:cs="Times New Roman" w:eastAsia="Times New Roman" w:hAnsi="Times New Roman"/>
          <w:sz w:val="13"/>
          <w:szCs w:val="13"/>
          <w:color w:val="auto"/>
        </w:rPr>
        <w:t>ANS VAN</w:t>
      </w:r>
      <w:r>
        <w:rPr>
          <w:rFonts w:ascii="Times New Roman" w:cs="Times New Roman" w:eastAsia="Times New Roman" w:hAnsi="Times New Roman"/>
          <w:sz w:val="17"/>
          <w:szCs w:val="17"/>
          <w:color w:val="auto"/>
        </w:rPr>
        <w:t xml:space="preserve"> H</w:t>
      </w:r>
      <w:r>
        <w:rPr>
          <w:rFonts w:ascii="Times New Roman" w:cs="Times New Roman" w:eastAsia="Times New Roman" w:hAnsi="Times New Roman"/>
          <w:sz w:val="13"/>
          <w:szCs w:val="13"/>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25400</wp:posOffset>
            </wp:positionV>
            <wp:extent cx="34137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2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Hans van Houte</w:t>
      </w:r>
    </w:p>
    <w:p>
      <w:pPr>
        <w:spacing w:after="0" w:line="2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July 11, 2024</w:t>
      </w:r>
    </w:p>
    <w:p>
      <w:pPr>
        <w:sectPr>
          <w:pgSz w:w="11900" w:h="16838" w:orient="portrait"/>
          <w:cols w:equalWidth="0" w:num="1">
            <w:col w:w="11240"/>
          </w:cols>
          <w:pgMar w:left="320" w:top="1099"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of the undersigned officers of Nurix Therapeutics, Inc. (the Company) certifies, pursuant to 18 U.S.C. § 1350, as adopted pursuant to § 906 of the Sarbanes-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Oxley Act of 2002, that:</w:t>
      </w:r>
    </w:p>
    <w:p>
      <w:pPr>
        <w:spacing w:after="0" w:line="200" w:lineRule="exact"/>
        <w:rPr>
          <w:sz w:val="20"/>
          <w:szCs w:val="20"/>
          <w:color w:val="auto"/>
        </w:rPr>
      </w:pPr>
    </w:p>
    <w:p>
      <w:pPr>
        <w:ind w:left="620" w:hanging="617"/>
        <w:spacing w:after="0" w:line="287" w:lineRule="auto"/>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Company for the quarter ended May 31, 2024 (the Quarterly Report), as filed with the Securities and Exchange Commission, fully complies with the requirements of Section 13(a) or 15(d) of the Securities Exchange Act of 1934, and</w:t>
      </w:r>
    </w:p>
    <w:p>
      <w:pPr>
        <w:spacing w:after="0" w:line="151" w:lineRule="exact"/>
        <w:rPr>
          <w:rFonts w:ascii="Times New Roman" w:cs="Times New Roman" w:eastAsia="Times New Roman" w:hAnsi="Times New Roman"/>
          <w:sz w:val="17"/>
          <w:szCs w:val="17"/>
          <w:color w:val="auto"/>
        </w:rPr>
      </w:pPr>
    </w:p>
    <w:p>
      <w:pPr>
        <w:ind w:left="620" w:hanging="617"/>
        <w:spacing w:after="0" w:line="263" w:lineRule="auto"/>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this Quarterly Report fairly presents, in all material respects, the financial condition and results of operations of the Company.</w:t>
      </w:r>
    </w:p>
    <w:p>
      <w:pPr>
        <w:spacing w:after="0" w:line="200" w:lineRule="exact"/>
        <w:rPr>
          <w:sz w:val="20"/>
          <w:szCs w:val="20"/>
          <w:color w:val="auto"/>
        </w:rPr>
      </w:pPr>
    </w:p>
    <w:p>
      <w:pPr>
        <w:spacing w:after="0" w:line="243" w:lineRule="exact"/>
        <w:rPr>
          <w:sz w:val="20"/>
          <w:szCs w:val="20"/>
          <w:color w:val="auto"/>
        </w:rPr>
      </w:pPr>
    </w:p>
    <w:p>
      <w:pPr>
        <w:ind w:left="5420"/>
        <w:spacing w:after="0"/>
        <w:tabs>
          <w:tab w:leader="none" w:pos="5860" w:val="left"/>
        </w:tabs>
        <w:rPr>
          <w:sz w:val="20"/>
          <w:szCs w:val="20"/>
          <w:color w:val="auto"/>
        </w:rPr>
      </w:pPr>
      <w:r>
        <w:rPr>
          <w:rFonts w:ascii="Times New Roman" w:cs="Times New Roman" w:eastAsia="Times New Roman" w:hAnsi="Times New Roman"/>
          <w:sz w:val="17"/>
          <w:szCs w:val="17"/>
          <w:color w:val="auto"/>
        </w:rPr>
        <w:t>By:</w:t>
        <w:tab/>
        <w:t>/s/ A</w:t>
      </w:r>
      <w:r>
        <w:rPr>
          <w:rFonts w:ascii="Times New Roman" w:cs="Times New Roman" w:eastAsia="Times New Roman" w:hAnsi="Times New Roman"/>
          <w:sz w:val="13"/>
          <w:szCs w:val="13"/>
          <w:color w:val="auto"/>
        </w:rPr>
        <w:t>RTHUR</w:t>
      </w:r>
      <w:r>
        <w:rPr>
          <w:rFonts w:ascii="Times New Roman" w:cs="Times New Roman" w:eastAsia="Times New Roman" w:hAnsi="Times New Roman"/>
          <w:sz w:val="17"/>
          <w:szCs w:val="17"/>
          <w:color w:val="auto"/>
        </w:rPr>
        <w:t xml:space="preserve"> T. S</w:t>
      </w:r>
      <w:r>
        <w:rPr>
          <w:rFonts w:ascii="Times New Roman" w:cs="Times New Roman" w:eastAsia="Times New Roman" w:hAnsi="Times New Roman"/>
          <w:sz w:val="13"/>
          <w:szCs w:val="13"/>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25400</wp:posOffset>
            </wp:positionV>
            <wp:extent cx="34137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2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Arthur T. Sands, M.D., Ph.D.</w:t>
      </w:r>
    </w:p>
    <w:p>
      <w:pPr>
        <w:spacing w:after="0" w:line="2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spacing w:after="0" w:line="2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78" w:lineRule="exact"/>
        <w:rPr>
          <w:sz w:val="20"/>
          <w:szCs w:val="20"/>
          <w:color w:val="auto"/>
        </w:rPr>
      </w:pPr>
    </w:p>
    <w:p>
      <w:pPr>
        <w:ind w:left="5420"/>
        <w:spacing w:after="0"/>
        <w:tabs>
          <w:tab w:leader="none" w:pos="5860" w:val="left"/>
        </w:tabs>
        <w:rPr>
          <w:sz w:val="20"/>
          <w:szCs w:val="20"/>
          <w:color w:val="auto"/>
        </w:rPr>
      </w:pPr>
      <w:r>
        <w:rPr>
          <w:rFonts w:ascii="Times New Roman" w:cs="Times New Roman" w:eastAsia="Times New Roman" w:hAnsi="Times New Roman"/>
          <w:sz w:val="17"/>
          <w:szCs w:val="17"/>
          <w:color w:val="auto"/>
        </w:rPr>
        <w:t>By:</w:t>
        <w:tab/>
        <w:t>/s/ H</w:t>
      </w:r>
      <w:r>
        <w:rPr>
          <w:rFonts w:ascii="Times New Roman" w:cs="Times New Roman" w:eastAsia="Times New Roman" w:hAnsi="Times New Roman"/>
          <w:sz w:val="13"/>
          <w:szCs w:val="13"/>
          <w:color w:val="auto"/>
        </w:rPr>
        <w:t>ANS VAN</w:t>
      </w:r>
      <w:r>
        <w:rPr>
          <w:rFonts w:ascii="Times New Roman" w:cs="Times New Roman" w:eastAsia="Times New Roman" w:hAnsi="Times New Roman"/>
          <w:sz w:val="17"/>
          <w:szCs w:val="17"/>
          <w:color w:val="auto"/>
        </w:rPr>
        <w:t xml:space="preserve"> H</w:t>
      </w:r>
      <w:r>
        <w:rPr>
          <w:rFonts w:ascii="Times New Roman" w:cs="Times New Roman" w:eastAsia="Times New Roman" w:hAnsi="Times New Roman"/>
          <w:sz w:val="13"/>
          <w:szCs w:val="13"/>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25400</wp:posOffset>
            </wp:positionV>
            <wp:extent cx="34137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2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Hans van Houte</w:t>
      </w:r>
    </w:p>
    <w:p>
      <w:pPr>
        <w:spacing w:after="0" w:line="2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July 11, 2024</w:t>
      </w:r>
    </w:p>
    <w:p>
      <w:pPr>
        <w:spacing w:after="0" w:line="2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397"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240"/>
      </w:cols>
      <w:pgMar w:left="320" w:top="10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x"/>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1)"/>
      <w:numFmt w:val="lowerRoman"/>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2024-07-11T15:32:04Z</dcterms:created>
  <dcterms:modified xsi:type="dcterms:W3CDTF">2024-07-11T15:32:04Z</dcterms:modified>
</cp:coreProperties>
</file>