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line="217"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line="220"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3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w:t>
      </w: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9" w:lineRule="exact"/>
        <w:rPr>
          <w:sz w:val="24"/>
          <w:szCs w:val="24"/>
          <w:color w:val="auto"/>
        </w:rPr>
      </w:pPr>
    </w:p>
    <w:p>
      <w:pPr>
        <w:ind w:left="3980" w:right="2540" w:hanging="3851"/>
        <w:spacing w:after="0" w:line="371" w:lineRule="auto"/>
        <w:tabs>
          <w:tab w:leader="none" w:pos="461"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August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460" w:hanging="316"/>
        <w:spacing w:after="0"/>
        <w:tabs>
          <w:tab w:leader="none" w:pos="4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32" w:lineRule="exact"/>
        <w:rPr>
          <w:sz w:val="24"/>
          <w:szCs w:val="24"/>
          <w:color w:val="auto"/>
        </w:rPr>
      </w:pPr>
    </w:p>
    <w:p>
      <w:pPr>
        <w:ind w:left="38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001-39398</w:t>
      </w:r>
    </w:p>
    <w:p>
      <w:pPr>
        <w:ind w:left="3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NURIX THERAPEUTICS, INC.</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500" w:type="dxa"/>
            <w:vAlign w:val="bottom"/>
          </w:tcPr>
          <w:p>
            <w:pPr>
              <w:jc w:val="center"/>
              <w:ind w:right="17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27-0838048</w:t>
            </w:r>
          </w:p>
        </w:tc>
        <w:tc>
          <w:tcPr>
            <w:tcW w:w="0" w:type="dxa"/>
            <w:vAlign w:val="bottom"/>
          </w:tcPr>
          <w:p>
            <w:pPr>
              <w:spacing w:after="0"/>
              <w:rPr>
                <w:sz w:val="1"/>
                <w:szCs w:val="1"/>
                <w:color w:val="auto"/>
              </w:rPr>
            </w:pPr>
          </w:p>
        </w:tc>
      </w:tr>
      <w:tr>
        <w:trPr>
          <w:trHeight w:val="193"/>
        </w:trPr>
        <w:tc>
          <w:tcPr>
            <w:tcW w:w="4500" w:type="dxa"/>
            <w:vAlign w:val="bottom"/>
          </w:tcPr>
          <w:p>
            <w:pPr>
              <w:jc w:val="center"/>
              <w:ind w:right="175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080" w:type="dxa"/>
            <w:vAlign w:val="bottom"/>
          </w:tcPr>
          <w:p>
            <w:pPr>
              <w:jc w:val="center"/>
              <w:ind w:left="1739"/>
              <w:spacing w:after="0"/>
              <w:rPr>
                <w:sz w:val="20"/>
                <w:szCs w:val="20"/>
                <w:color w:val="auto"/>
              </w:rPr>
            </w:pPr>
            <w:r>
              <w:rPr>
                <w:rFonts w:ascii="Times New Roman" w:cs="Times New Roman" w:eastAsia="Times New Roman" w:hAnsi="Times New Roman"/>
                <w:sz w:val="16"/>
                <w:szCs w:val="16"/>
                <w:b w:val="1"/>
                <w:bCs w:val="1"/>
                <w:color w:val="auto"/>
              </w:rPr>
              <w:t>(I.R.S. Employer</w:t>
            </w:r>
          </w:p>
        </w:tc>
        <w:tc>
          <w:tcPr>
            <w:tcW w:w="0" w:type="dxa"/>
            <w:vAlign w:val="bottom"/>
          </w:tcPr>
          <w:p>
            <w:pPr>
              <w:spacing w:after="0"/>
              <w:rPr>
                <w:sz w:val="1"/>
                <w:szCs w:val="1"/>
                <w:color w:val="auto"/>
              </w:rPr>
            </w:pPr>
          </w:p>
        </w:tc>
      </w:tr>
      <w:tr>
        <w:trPr>
          <w:trHeight w:val="212"/>
        </w:trPr>
        <w:tc>
          <w:tcPr>
            <w:tcW w:w="4500" w:type="dxa"/>
            <w:vAlign w:val="bottom"/>
          </w:tcPr>
          <w:p>
            <w:pPr>
              <w:jc w:val="center"/>
              <w:ind w:right="173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080" w:type="dxa"/>
            <w:vAlign w:val="bottom"/>
          </w:tcPr>
          <w:p>
            <w:pPr>
              <w:jc w:val="center"/>
              <w:ind w:left="1739"/>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0" w:type="dxa"/>
            <w:vAlign w:val="bottom"/>
          </w:tcPr>
          <w:p>
            <w:pPr>
              <w:spacing w:after="0"/>
              <w:rPr>
                <w:sz w:val="1"/>
                <w:szCs w:val="1"/>
                <w:color w:val="auto"/>
              </w:rPr>
            </w:pPr>
          </w:p>
        </w:tc>
      </w:tr>
      <w:tr>
        <w:trPr>
          <w:trHeight w:val="179"/>
        </w:trPr>
        <w:tc>
          <w:tcPr>
            <w:tcW w:w="4500" w:type="dxa"/>
            <w:vAlign w:val="bottom"/>
          </w:tcPr>
          <w:p>
            <w:pPr>
              <w:jc w:val="center"/>
              <w:ind w:right="1739"/>
              <w:spacing w:after="0" w:line="179" w:lineRule="exact"/>
              <w:rPr>
                <w:sz w:val="20"/>
                <w:szCs w:val="20"/>
                <w:color w:val="auto"/>
              </w:rPr>
            </w:pPr>
            <w:r>
              <w:rPr>
                <w:rFonts w:ascii="Times New Roman" w:cs="Times New Roman" w:eastAsia="Times New Roman" w:hAnsi="Times New Roman"/>
                <w:sz w:val="16"/>
                <w:szCs w:val="16"/>
                <w:b w:val="1"/>
                <w:bCs w:val="1"/>
                <w:color w:val="auto"/>
              </w:rPr>
              <w:t>1700 Owens Street, Suite 205</w:t>
            </w:r>
          </w:p>
        </w:tc>
        <w:tc>
          <w:tcPr>
            <w:tcW w:w="308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94158</w:t>
            </w:r>
          </w:p>
        </w:tc>
        <w:tc>
          <w:tcPr>
            <w:tcW w:w="0" w:type="dxa"/>
            <w:vAlign w:val="bottom"/>
          </w:tcPr>
          <w:p>
            <w:pPr>
              <w:spacing w:after="0"/>
              <w:rPr>
                <w:sz w:val="1"/>
                <w:szCs w:val="1"/>
                <w:color w:val="auto"/>
              </w:rPr>
            </w:pPr>
          </w:p>
        </w:tc>
      </w:tr>
      <w:tr>
        <w:trPr>
          <w:trHeight w:val="212"/>
        </w:trPr>
        <w:tc>
          <w:tcPr>
            <w:tcW w:w="4500" w:type="dxa"/>
            <w:vAlign w:val="bottom"/>
          </w:tcPr>
          <w:p>
            <w:pPr>
              <w:jc w:val="center"/>
              <w:ind w:right="1739"/>
              <w:spacing w:after="0"/>
              <w:rPr>
                <w:sz w:val="20"/>
                <w:szCs w:val="20"/>
                <w:color w:val="auto"/>
              </w:rPr>
            </w:pPr>
            <w:r>
              <w:rPr>
                <w:rFonts w:ascii="Times New Roman" w:cs="Times New Roman" w:eastAsia="Times New Roman" w:hAnsi="Times New Roman"/>
                <w:sz w:val="16"/>
                <w:szCs w:val="16"/>
                <w:b w:val="1"/>
                <w:bCs w:val="1"/>
                <w:color w:val="auto"/>
              </w:rPr>
              <w:t>San Francisco, CA</w:t>
            </w:r>
          </w:p>
        </w:tc>
        <w:tc>
          <w:tcPr>
            <w:tcW w:w="3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jc w:val="center"/>
              <w:ind w:right="173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080" w:type="dxa"/>
            <w:vAlign w:val="bottom"/>
          </w:tcPr>
          <w:p>
            <w:pPr>
              <w:jc w:val="center"/>
              <w:ind w:left="1739"/>
              <w:spacing w:after="0"/>
              <w:rPr>
                <w:sz w:val="20"/>
                <w:szCs w:val="20"/>
                <w:color w:val="auto"/>
              </w:rPr>
            </w:pPr>
            <w:r>
              <w:rPr>
                <w:rFonts w:ascii="Times New Roman" w:cs="Times New Roman" w:eastAsia="Times New Roman" w:hAnsi="Times New Roman"/>
                <w:sz w:val="16"/>
                <w:szCs w:val="16"/>
                <w:b w:val="1"/>
                <w:bCs w:val="1"/>
                <w:color w:val="auto"/>
                <w:w w:val="99"/>
              </w:rPr>
              <w:t>(Zip Code)</w:t>
            </w:r>
          </w:p>
        </w:tc>
        <w:tc>
          <w:tcPr>
            <w:tcW w:w="0" w:type="dxa"/>
            <w:vAlign w:val="bottom"/>
          </w:tcPr>
          <w:p>
            <w:pPr>
              <w:spacing w:after="0"/>
              <w:rPr>
                <w:sz w:val="1"/>
                <w:szCs w:val="1"/>
                <w:color w:val="auto"/>
              </w:rPr>
            </w:pPr>
          </w:p>
        </w:tc>
      </w:tr>
    </w:tbl>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660-5320</w:t>
      </w:r>
    </w:p>
    <w:p>
      <w:pPr>
        <w:spacing w:after="0" w:line="3"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4380" w:type="dxa"/>
            <w:vAlign w:val="bottom"/>
          </w:tcPr>
          <w:p>
            <w:pPr>
              <w:spacing w:after="0"/>
              <w:rPr>
                <w:sz w:val="17"/>
                <w:szCs w:val="17"/>
                <w:color w:val="auto"/>
              </w:rPr>
            </w:pPr>
          </w:p>
        </w:tc>
      </w:tr>
      <w:tr>
        <w:trPr>
          <w:trHeight w:val="225"/>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0" w:type="dxa"/>
            <w:vAlign w:val="bottom"/>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Symbol(s)</w:t>
            </w:r>
          </w:p>
        </w:tc>
        <w:tc>
          <w:tcPr>
            <w:tcW w:w="100" w:type="dxa"/>
            <w:vAlign w:val="bottom"/>
          </w:tcPr>
          <w:p>
            <w:pPr>
              <w:spacing w:after="0"/>
              <w:rPr>
                <w:sz w:val="19"/>
                <w:szCs w:val="19"/>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43"/>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NRIX</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ind w:right="240"/>
        <w:spacing w:after="0" w:line="23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4" w:lineRule="exact"/>
        <w:rPr>
          <w:sz w:val="24"/>
          <w:szCs w:val="24"/>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4" w:lineRule="exact"/>
        <w:rPr>
          <w:sz w:val="24"/>
          <w:szCs w:val="24"/>
          <w:color w:val="auto"/>
        </w:rPr>
      </w:pPr>
    </w:p>
    <w:p>
      <w:pPr>
        <w:ind w:right="380"/>
        <w:spacing w:after="0" w:line="23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40" w:type="dxa"/>
            <w:vAlign w:val="bottom"/>
          </w:tcPr>
          <w:p>
            <w:pPr>
              <w:ind w:left="1220"/>
              <w:spacing w:after="0"/>
              <w:rPr>
                <w:sz w:val="20"/>
                <w:szCs w:val="20"/>
                <w:color w:val="auto"/>
              </w:rPr>
            </w:pPr>
            <w:r>
              <w:rPr>
                <w:rFonts w:ascii="Wingdings" w:cs="Wingdings" w:eastAsia="Wingdings" w:hAnsi="Wingdings"/>
                <w:sz w:val="18"/>
                <w:szCs w:val="18"/>
                <w:b w:val="1"/>
                <w:bCs w:val="1"/>
                <w:color w:val="auto"/>
              </w:rPr>
              <w:t>x</w:t>
            </w:r>
          </w:p>
        </w:tc>
        <w:tc>
          <w:tcPr>
            <w:tcW w:w="3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Accelerated filer</w:t>
            </w:r>
          </w:p>
        </w:tc>
        <w:tc>
          <w:tcPr>
            <w:tcW w:w="1380" w:type="dxa"/>
            <w:vAlign w:val="bottom"/>
          </w:tcPr>
          <w:p>
            <w:pPr>
              <w:ind w:left="1220"/>
              <w:spacing w:after="0"/>
              <w:rPr>
                <w:sz w:val="20"/>
                <w:szCs w:val="20"/>
                <w:color w:val="auto"/>
              </w:rPr>
            </w:pPr>
            <w:r>
              <w:rPr>
                <w:rFonts w:ascii="Wingdings" w:cs="Wingdings" w:eastAsia="Wingdings" w:hAnsi="Wingdings"/>
                <w:sz w:val="18"/>
                <w:szCs w:val="18"/>
                <w:b w:val="1"/>
                <w:bCs w:val="1"/>
                <w:color w:val="auto"/>
                <w:w w:val="86"/>
              </w:rPr>
              <w:t>o</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40" w:type="dxa"/>
            <w:vAlign w:val="bottom"/>
          </w:tcPr>
          <w:p>
            <w:pPr>
              <w:ind w:left="124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80" w:type="dxa"/>
            <w:vAlign w:val="bottom"/>
          </w:tcPr>
          <w:p>
            <w:pPr>
              <w:ind w:left="1220"/>
              <w:spacing w:after="0"/>
              <w:rPr>
                <w:sz w:val="20"/>
                <w:szCs w:val="20"/>
                <w:color w:val="auto"/>
              </w:rPr>
            </w:pPr>
            <w:r>
              <w:rPr>
                <w:rFonts w:ascii="Wingdings" w:cs="Wingdings" w:eastAsia="Wingdings" w:hAnsi="Wingdings"/>
                <w:sz w:val="18"/>
                <w:szCs w:val="18"/>
                <w:b w:val="1"/>
                <w:bCs w:val="1"/>
                <w:color w:val="auto"/>
                <w:w w:val="86"/>
              </w:rPr>
              <w:t>o</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940" w:type="dxa"/>
            <w:vAlign w:val="bottom"/>
          </w:tcPr>
          <w:p>
            <w:pPr>
              <w:ind w:left="124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spacing w:after="0"/>
              <w:rPr>
                <w:sz w:val="23"/>
                <w:szCs w:val="23"/>
                <w:color w:val="auto"/>
              </w:rPr>
            </w:pPr>
          </w:p>
        </w:tc>
        <w:tc>
          <w:tcPr>
            <w:tcW w:w="1380" w:type="dxa"/>
            <w:vAlign w:val="bottom"/>
          </w:tcPr>
          <w:p>
            <w:pPr>
              <w:spacing w:after="0"/>
              <w:rPr>
                <w:sz w:val="23"/>
                <w:szCs w:val="23"/>
                <w:color w:val="auto"/>
              </w:rPr>
            </w:pPr>
          </w:p>
        </w:tc>
      </w:tr>
    </w:tbl>
    <w:p>
      <w:pPr>
        <w:spacing w:after="0" w:line="198" w:lineRule="exact"/>
        <w:rPr>
          <w:sz w:val="24"/>
          <w:szCs w:val="24"/>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5" w:lineRule="exact"/>
        <w:rPr>
          <w:sz w:val="24"/>
          <w:szCs w:val="24"/>
          <w:color w:val="auto"/>
        </w:rPr>
      </w:pPr>
    </w:p>
    <w:p>
      <w:pPr>
        <w:ind w:right="1980"/>
        <w:spacing w:after="0" w:line="37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September 30, 2025, the Registrant had 76,883,436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61" w:lineRule="exact"/>
        <w:rPr>
          <w:sz w:val="20"/>
          <w:szCs w:val="20"/>
          <w:color w:val="auto"/>
        </w:rPr>
      </w:pPr>
    </w:p>
    <w:p>
      <w:pPr>
        <w:ind w:left="980" w:right="220" w:hanging="324"/>
        <w:spacing w:after="0" w:line="258"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conduct of our clinical trial programs for our lead drug candidates bexobrutideg (NX-5948), zelebrudomide (NX-2127) and NX-1607 and other drug candidates, including statements regarding the timing of data and anticipated announcements, the selection of new development candidates and the initiation of clinical trials;</w:t>
      </w:r>
    </w:p>
    <w:p>
      <w:pPr>
        <w:spacing w:after="0" w:line="61"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marketing approvals for our lead drug candidates bexobrutideg, zelebrudomide and NX-1607 and other drug candidates;</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pursue research and development of other drug candidates;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investigational new drug application (IND) submissions for our drug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DEL-AI platform, our drug candidates and degrader antibody conjugates (DACs);</w:t>
      </w:r>
    </w:p>
    <w:p>
      <w:pPr>
        <w:spacing w:after="0" w:line="103"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scientific approach, our DEL-AI platform, protein degradation, antibody-drug conjugation, and DACs may potentially address a broad range of diseases;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arrangements with Gilead Sciences, Inc., Sanofi S.A. and Seagen Inc. (now a part of Pfizer Inc.);</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drug candidates;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revenue from future sales of our drug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drug candidates;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drug candidates;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for the manufacturing of our drug candidates;</w:t>
      </w:r>
    </w:p>
    <w:p>
      <w:pPr>
        <w:spacing w:after="0" w:line="103"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global business, political and macroeconomic conditions, including inflation, interest rate fluctuations and volatile market conditions, uncertainty with respect to the federal budget and debt ceiling, potential government shutdowns related thereto, cybersecurity events, instability in the global banking system, and global events, including regional conflicts around the world, on our business, clinical trials, financial condition, liquidity and results of operations;</w:t>
      </w:r>
    </w:p>
    <w:p>
      <w:pPr>
        <w:spacing w:after="0" w:line="6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achievement of milestones and receipt of royalty payments under our collaborations;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additional collaborations with third parties;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and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at-length below. These risks include, among others, the following:</w:t>
      </w:r>
    </w:p>
    <w:p>
      <w:pPr>
        <w:spacing w:after="0" w:line="54" w:lineRule="exact"/>
        <w:rPr>
          <w:sz w:val="20"/>
          <w:szCs w:val="20"/>
          <w:color w:val="auto"/>
        </w:rPr>
      </w:pPr>
    </w:p>
    <w:p>
      <w:pPr>
        <w:ind w:left="980" w:right="16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at least the next several years and may never achieve or maintain profitability.</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w:t>
      </w:r>
    </w:p>
    <w:p>
      <w:pPr>
        <w:spacing w:after="0" w:line="103"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40" w:lineRule="exact"/>
        <w:rPr>
          <w:rFonts w:ascii="Times New Roman" w:cs="Times New Roman" w:eastAsia="Times New Roman" w:hAnsi="Times New Roman"/>
          <w:sz w:val="18"/>
          <w:szCs w:val="18"/>
          <w:color w:val="auto"/>
        </w:rPr>
      </w:pPr>
    </w:p>
    <w:p>
      <w:pPr>
        <w:ind w:left="980" w:right="74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legislation may increase the difficulty and cost for us, and any collaborators, to obtain marketing approval of and commercialize our drug candidates and affect the prices we, or they, may obtain.</w:t>
      </w:r>
    </w:p>
    <w:p>
      <w:pPr>
        <w:spacing w:after="0" w:line="67" w:lineRule="exact"/>
        <w:rPr>
          <w:rFonts w:ascii="Times New Roman" w:cs="Times New Roman" w:eastAsia="Times New Roman" w:hAnsi="Times New Roman"/>
          <w:sz w:val="18"/>
          <w:szCs w:val="18"/>
          <w:color w:val="auto"/>
        </w:rPr>
      </w:pPr>
    </w:p>
    <w:p>
      <w:pPr>
        <w:ind w:left="980" w:right="8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Our lead drug candidates, bexobrutideg (NX-5948), zelebrudomide (NX-2127) and NX-1607,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6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to evaluate the success of our business to date and to assess our future viability.</w:t>
      </w:r>
    </w:p>
    <w:p>
      <w:pPr>
        <w:spacing w:after="0" w:line="103"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40"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early-stage clinical trials may not be predictive of future results. Initial success in clinical trials may not be indicative of results obtained in later-stage trials or when these trials are completed.</w:t>
      </w:r>
    </w:p>
    <w:p>
      <w:pPr>
        <w:spacing w:after="0" w:line="67" w:lineRule="exact"/>
        <w:rPr>
          <w:rFonts w:ascii="Times New Roman" w:cs="Times New Roman" w:eastAsia="Times New Roman" w:hAnsi="Times New Roman"/>
          <w:sz w:val="18"/>
          <w:szCs w:val="18"/>
          <w:color w:val="auto"/>
        </w:rPr>
      </w:pPr>
    </w:p>
    <w:p>
      <w:pPr>
        <w:jc w:val="both"/>
        <w:ind w:left="980" w:right="6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or obtain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82" w:lineRule="exact"/>
        <w:rPr>
          <w:rFonts w:ascii="Times New Roman" w:cs="Times New Roman" w:eastAsia="Times New Roman" w:hAnsi="Times New Roman"/>
          <w:sz w:val="18"/>
          <w:szCs w:val="18"/>
          <w:color w:val="auto"/>
        </w:rPr>
      </w:pPr>
    </w:p>
    <w:p>
      <w:pPr>
        <w:ind w:left="980" w:right="20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drug candidates are not considered to be a new active substance or are deemed to fall within the “global marketing authorization” of an existing medicinal product or if pediatric studies are not adequately completed, such drug candidates may fail to obtain regulatory data protection or an extension to existing regulatory data protection.</w:t>
      </w:r>
    </w:p>
    <w:p>
      <w:pPr>
        <w:spacing w:after="0" w:line="82" w:lineRule="exact"/>
        <w:rPr>
          <w:rFonts w:ascii="Times New Roman" w:cs="Times New Roman" w:eastAsia="Times New Roman" w:hAnsi="Times New Roman"/>
          <w:sz w:val="18"/>
          <w:szCs w:val="18"/>
          <w:color w:val="auto"/>
        </w:rPr>
      </w:pPr>
    </w:p>
    <w:p>
      <w:pPr>
        <w:ind w:left="980" w:right="44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in an environment of rapid technological change, which may result in others discovering, developing or commercializing products before or more successfully than we do.</w:t>
      </w:r>
    </w:p>
    <w:p>
      <w:pPr>
        <w:spacing w:after="0" w:line="54" w:lineRule="exact"/>
        <w:rPr>
          <w:rFonts w:ascii="Times New Roman" w:cs="Times New Roman" w:eastAsia="Times New Roman" w:hAnsi="Times New Roman"/>
          <w:sz w:val="18"/>
          <w:szCs w:val="18"/>
          <w:color w:val="auto"/>
        </w:rPr>
      </w:pPr>
    </w:p>
    <w:p>
      <w:pPr>
        <w:ind w:left="980" w:right="240" w:hanging="324"/>
        <w:spacing w:after="0" w:line="258"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61" w:lineRule="exact"/>
        <w:rPr>
          <w:rFonts w:ascii="Times New Roman" w:cs="Times New Roman" w:eastAsia="Times New Roman" w:hAnsi="Times New Roman"/>
          <w:sz w:val="18"/>
          <w:szCs w:val="18"/>
          <w:color w:val="auto"/>
        </w:rPr>
      </w:pPr>
    </w:p>
    <w:p>
      <w:pPr>
        <w:ind w:left="980" w:right="80" w:hanging="324"/>
        <w:spacing w:after="0" w:line="270" w:lineRule="auto"/>
        <w:tabs>
          <w:tab w:leader="none" w:pos="97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140" w:hanging="324"/>
        <w:spacing w:after="0" w:line="250"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69" w:lineRule="exact"/>
        <w:rPr>
          <w:rFonts w:ascii="Times New Roman" w:cs="Times New Roman" w:eastAsia="Times New Roman" w:hAnsi="Times New Roman"/>
          <w:sz w:val="18"/>
          <w:szCs w:val="18"/>
          <w:color w:val="auto"/>
        </w:rPr>
      </w:pPr>
    </w:p>
    <w:p>
      <w:pPr>
        <w:ind w:left="980" w:right="120" w:hanging="324"/>
        <w:spacing w:after="0" w:line="258"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could adversely affect our business, financial condition, stock price and results of operations.</w:t>
      </w:r>
    </w:p>
    <w:p>
      <w:pPr>
        <w:spacing w:after="0" w:line="117"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54" w:lineRule="exact"/>
        <w:rPr>
          <w:rFonts w:ascii="Times New Roman" w:cs="Times New Roman" w:eastAsia="Times New Roman" w:hAnsi="Times New Roman"/>
          <w:sz w:val="18"/>
          <w:szCs w:val="18"/>
          <w:color w:val="auto"/>
        </w:rPr>
      </w:pPr>
    </w:p>
    <w:p>
      <w:pPr>
        <w:ind w:left="980" w:right="240" w:hanging="324"/>
        <w:spacing w:after="0" w:line="258"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are able to commercialize any drug candidates, the products may become subject to unfavorable pricing regulations, third-party reimbursement practices or healthcare reform initiatives, or fail to secure a positive health technology assessment, which would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82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8820" w:type="dxa"/>
            <w:vAlign w:val="bottom"/>
            <w:gridSpan w:val="17"/>
            <w:vMerge w:val="continue"/>
          </w:tcPr>
          <w:p>
            <w:pPr>
              <w:spacing w:after="0"/>
              <w:rPr>
                <w:sz w:val="15"/>
                <w:szCs w:val="15"/>
                <w:color w:val="auto"/>
              </w:rPr>
            </w:pP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Condensed Balance Sheets</w:t>
            </w:r>
          </w:p>
        </w:tc>
        <w:tc>
          <w:tcPr>
            <w:tcW w:w="6420" w:type="dxa"/>
            <w:vAlign w:val="bottom"/>
            <w:gridSpan w:val="8"/>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Statements of Operations</w:t>
            </w:r>
          </w:p>
        </w:tc>
        <w:tc>
          <w:tcPr>
            <w:tcW w:w="6160" w:type="dxa"/>
            <w:vAlign w:val="bottom"/>
            <w:gridSpan w:val="7"/>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Statements of Comprehensive Loss</w:t>
            </w:r>
          </w:p>
        </w:tc>
        <w:tc>
          <w:tcPr>
            <w:tcW w:w="5440" w:type="dxa"/>
            <w:vAlign w:val="bottom"/>
            <w:gridSpan w:val="4"/>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Statements of Stockholders’ Equity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Condensed Statements of Cash Flows</w:t>
            </w:r>
          </w:p>
        </w:tc>
        <w:tc>
          <w:tcPr>
            <w:tcW w:w="5440" w:type="dxa"/>
            <w:vAlign w:val="bottom"/>
            <w:gridSpan w:val="4"/>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tcPr>
          <w:p>
            <w:pPr>
              <w:spacing w:after="0"/>
              <w:rPr>
                <w:sz w:val="20"/>
                <w:szCs w:val="20"/>
                <w:color w:val="auto"/>
              </w:rPr>
            </w:pPr>
          </w:p>
        </w:tc>
        <w:tc>
          <w:tcPr>
            <w:tcW w:w="2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7060" w:type="dxa"/>
            <w:vAlign w:val="bottom"/>
            <w:gridSpan w:val="12"/>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690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0"/>
                <w:szCs w:val="20"/>
                <w:color w:val="auto"/>
              </w:rPr>
            </w:pPr>
          </w:p>
        </w:tc>
        <w:tc>
          <w:tcPr>
            <w:tcW w:w="7500" w:type="dxa"/>
            <w:vAlign w:val="bottom"/>
            <w:gridSpan w:val="13"/>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480" w:type="dxa"/>
            <w:vAlign w:val="bottom"/>
            <w:gridSpan w:val="3"/>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6500" w:type="dxa"/>
            <w:vAlign w:val="bottom"/>
            <w:gridSpan w:val="9"/>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7060" w:type="dxa"/>
            <w:vAlign w:val="bottom"/>
            <w:gridSpan w:val="12"/>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520" w:type="dxa"/>
            <w:vAlign w:val="bottom"/>
            <w:gridSpan w:val="14"/>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053"/>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240" w:type="dxa"/>
            <w:vAlign w:val="bottom"/>
          </w:tcPr>
          <w:p>
            <w:pPr>
              <w:spacing w:after="0"/>
              <w:rPr>
                <w:sz w:val="15"/>
                <w:szCs w:val="15"/>
                <w:color w:val="auto"/>
              </w:rPr>
            </w:pPr>
          </w:p>
        </w:tc>
        <w:tc>
          <w:tcPr>
            <w:tcW w:w="13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109,997</w:t>
            </w:r>
          </w:p>
        </w:tc>
        <w:tc>
          <w:tcPr>
            <w:tcW w:w="0" w:type="dxa"/>
            <w:vAlign w:val="bottom"/>
          </w:tcPr>
          <w:p>
            <w:pPr>
              <w:spacing w:after="0"/>
              <w:rPr>
                <w:sz w:val="1"/>
                <w:szCs w:val="1"/>
                <w:color w:val="auto"/>
              </w:rPr>
            </w:pPr>
          </w:p>
        </w:tc>
      </w:tr>
      <w:tr>
        <w:trPr>
          <w:trHeight w:val="243"/>
        </w:trPr>
        <w:tc>
          <w:tcPr>
            <w:tcW w:w="7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499,586</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0" w:type="dxa"/>
            <w:vAlign w:val="bottom"/>
          </w:tcPr>
          <w:p>
            <w:pPr>
              <w:spacing w:after="0"/>
              <w:rPr>
                <w:sz w:val="1"/>
                <w:szCs w:val="1"/>
                <w:color w:val="auto"/>
              </w:rPr>
            </w:pPr>
          </w:p>
        </w:tc>
      </w:tr>
      <w:tr>
        <w:trPr>
          <w:trHeight w:val="237"/>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440,603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619,387</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28,139</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17,757</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522,472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669,343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Arial" w:cs="Arial" w:eastAsia="Arial" w:hAnsi="Arial"/>
                <w:sz w:val="18"/>
                <w:szCs w:val="18"/>
                <w:color w:val="auto"/>
                <w:highlight w:val="black"/>
              </w:rPr>
              <w:t>ʼ</w:t>
            </w:r>
            <w:r>
              <w:rPr>
                <w:rFonts w:ascii="Times New Roman" w:cs="Times New Roman" w:eastAsia="Times New Roman" w:hAnsi="Times New Roman"/>
                <w:sz w:val="18"/>
                <w:szCs w:val="18"/>
                <w:b w:val="1"/>
                <w:bCs w:val="1"/>
                <w:color w:val="auto"/>
              </w:rPr>
              <w:t xml:space="preserve">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37,994</w:t>
            </w:r>
          </w:p>
        </w:tc>
        <w:tc>
          <w:tcPr>
            <w:tcW w:w="0" w:type="dxa"/>
            <w:vAlign w:val="bottom"/>
          </w:tcPr>
          <w:p>
            <w:pPr>
              <w:spacing w:after="0"/>
              <w:rPr>
                <w:sz w:val="1"/>
                <w:szCs w:val="1"/>
                <w:color w:val="auto"/>
              </w:rPr>
            </w:pPr>
          </w:p>
        </w:tc>
      </w:tr>
      <w:tr>
        <w:trPr>
          <w:trHeight w:val="243"/>
        </w:trPr>
        <w:tc>
          <w:tcPr>
            <w:tcW w:w="7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38,364</w:t>
            </w:r>
          </w:p>
        </w:tc>
        <w:tc>
          <w:tcPr>
            <w:tcW w:w="0" w:type="dxa"/>
            <w:vAlign w:val="bottom"/>
          </w:tcPr>
          <w:p>
            <w:pPr>
              <w:spacing w:after="0"/>
              <w:rPr>
                <w:sz w:val="1"/>
                <w:szCs w:val="1"/>
                <w:color w:val="auto"/>
              </w:rPr>
            </w:pPr>
          </w:p>
        </w:tc>
      </w:tr>
      <w:tr>
        <w:trPr>
          <w:trHeight w:val="237"/>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95,854</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20,289</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26,207</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142,350</w:t>
            </w:r>
          </w:p>
        </w:tc>
        <w:tc>
          <w:tcPr>
            <w:tcW w:w="0" w:type="dxa"/>
            <w:vAlign w:val="bottom"/>
          </w:tcPr>
          <w:p>
            <w:pPr>
              <w:spacing w:after="0"/>
              <w:rPr>
                <w:sz w:val="1"/>
                <w:szCs w:val="1"/>
                <w:color w:val="auto"/>
              </w:rPr>
            </w:pPr>
          </w:p>
        </w:tc>
      </w:tr>
      <w:tr>
        <w:trPr>
          <w:trHeight w:val="22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equity:</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as of August 31, 2025 and November 30,</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2024; no shares issued and outstanding as of August 31, 2025 and November 30, 2024</w:t>
            </w:r>
          </w:p>
        </w:tc>
        <w:tc>
          <w:tcPr>
            <w:tcW w:w="3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$0.001 par value— 500,000,000 shares authorized as of August 31, 2025 and</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November 30, 2024; 76,872,686 and 75,870,718 shares issued and outstanding as of August 31, 2025</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9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and November 30, 2024,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1,265,536</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(738,769)</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equity</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372,252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526,993</w:t>
            </w:r>
          </w:p>
        </w:tc>
        <w:tc>
          <w:tcPr>
            <w:tcW w:w="0" w:type="dxa"/>
            <w:vAlign w:val="bottom"/>
          </w:tcPr>
          <w:p>
            <w:pPr>
              <w:spacing w:after="0"/>
              <w:rPr>
                <w:sz w:val="1"/>
                <w:szCs w:val="1"/>
                <w:color w:val="auto"/>
              </w:rPr>
            </w:pPr>
          </w:p>
        </w:tc>
      </w:tr>
      <w:tr>
        <w:trPr>
          <w:trHeight w:val="263"/>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522,472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669,343</w:t>
            </w: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54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980" w:type="dxa"/>
            <w:vAlign w:val="bottom"/>
          </w:tcPr>
          <w:p>
            <w:pPr>
              <w:spacing w:after="0"/>
              <w:rPr>
                <w:sz w:val="16"/>
                <w:szCs w:val="16"/>
                <w:color w:val="auto"/>
              </w:rPr>
            </w:pPr>
          </w:p>
        </w:tc>
      </w:tr>
      <w:tr>
        <w:trPr>
          <w:trHeight w:val="37"/>
        </w:trPr>
        <w:tc>
          <w:tcPr>
            <w:tcW w:w="54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5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4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Collaboration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8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40,403</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41,265</w:t>
            </w:r>
          </w:p>
        </w:tc>
      </w:tr>
      <w:tr>
        <w:trPr>
          <w:trHeight w:val="27"/>
        </w:trPr>
        <w:tc>
          <w:tcPr>
            <w:tcW w:w="5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revenue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70,403</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41,265</w:t>
            </w:r>
          </w:p>
        </w:tc>
      </w:tr>
      <w:tr>
        <w:trPr>
          <w:trHeight w:val="27"/>
        </w:trPr>
        <w:tc>
          <w:tcPr>
            <w:tcW w:w="5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86,120</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233,879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154,408</w:t>
            </w:r>
          </w:p>
        </w:tc>
      </w:tr>
      <w:tr>
        <w:trPr>
          <w:trHeight w:val="27"/>
        </w:trPr>
        <w:tc>
          <w:tcPr>
            <w:tcW w:w="5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39,095</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35,227</w:t>
            </w:r>
          </w:p>
        </w:tc>
      </w:tr>
      <w:tr>
        <w:trPr>
          <w:trHeight w:val="23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99,279</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272,974</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189,635</w:t>
            </w:r>
          </w:p>
        </w:tc>
      </w:tr>
      <w:tr>
        <w:trPr>
          <w:trHeight w:val="27"/>
        </w:trPr>
        <w:tc>
          <w:tcPr>
            <w:tcW w:w="5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(202,571)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(148,370)</w:t>
            </w: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w:t>
            </w:r>
          </w:p>
        </w:tc>
      </w:tr>
      <w:tr>
        <w:trPr>
          <w:trHeight w:val="27"/>
        </w:trPr>
        <w:tc>
          <w:tcPr>
            <w:tcW w:w="5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(185,476)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(134,758)</w:t>
            </w: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7"/>
        </w:trPr>
        <w:tc>
          <w:tcPr>
            <w:tcW w:w="5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(86,421)</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(186,236)</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(135,020)</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89"/>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84,159,336</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72,779,381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83,869,469</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63,384,174</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54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980" w:type="dxa"/>
            <w:vAlign w:val="bottom"/>
          </w:tcPr>
          <w:p>
            <w:pPr>
              <w:spacing w:after="0"/>
              <w:rPr>
                <w:sz w:val="16"/>
                <w:szCs w:val="16"/>
                <w:color w:val="auto"/>
              </w:rPr>
            </w:pPr>
          </w:p>
        </w:tc>
      </w:tr>
      <w:tr>
        <w:trPr>
          <w:trHeight w:val="37"/>
        </w:trPr>
        <w:tc>
          <w:tcPr>
            <w:tcW w:w="54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(186,236)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(135,020)</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 marketable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6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(86,282)</w:t>
            </w: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(186,267)</w:t>
            </w: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(134,021)</w:t>
            </w:r>
          </w:p>
        </w:tc>
      </w:tr>
      <w:tr>
        <w:trPr>
          <w:trHeight w:val="21"/>
        </w:trPr>
        <w:tc>
          <w:tcPr>
            <w:tcW w:w="5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080" w:type="dxa"/>
            <w:vAlign w:val="bottom"/>
            <w:gridSpan w:val="3"/>
            <w:vMerge w:val="restart"/>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8"/>
                <w:szCs w:val="8"/>
                <w:color w:val="auto"/>
              </w:rPr>
            </w:pPr>
          </w:p>
        </w:tc>
        <w:tc>
          <w:tcPr>
            <w:tcW w:w="112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8"/>
                <w:szCs w:val="8"/>
                <w:color w:val="auto"/>
              </w:rPr>
            </w:pPr>
          </w:p>
        </w:tc>
        <w:tc>
          <w:tcPr>
            <w:tcW w:w="108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8"/>
                <w:szCs w:val="8"/>
                <w:color w:val="auto"/>
              </w:rPr>
            </w:pPr>
          </w:p>
        </w:tc>
        <w:tc>
          <w:tcPr>
            <w:tcW w:w="980" w:type="dxa"/>
            <w:vAlign w:val="bottom"/>
            <w:vMerge w:val="restart"/>
          </w:tcPr>
          <w:p>
            <w:pPr>
              <w:jc w:val="center"/>
              <w:ind w:right="61"/>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40" w:type="dxa"/>
            <w:vAlign w:val="bottom"/>
          </w:tcPr>
          <w:p>
            <w:pPr>
              <w:spacing w:after="0"/>
              <w:rPr>
                <w:sz w:val="15"/>
                <w:szCs w:val="15"/>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5"/>
                <w:szCs w:val="15"/>
                <w:color w:val="auto"/>
              </w:rPr>
            </w:pPr>
          </w:p>
        </w:tc>
        <w:tc>
          <w:tcPr>
            <w:tcW w:w="980" w:type="dxa"/>
            <w:vAlign w:val="bottom"/>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29"/>
        </w:trPr>
        <w:tc>
          <w:tcPr>
            <w:tcW w:w="3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November 30,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48,718,552</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746,299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(545,200)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200,493</w:t>
            </w:r>
          </w:p>
        </w:tc>
        <w:tc>
          <w:tcPr>
            <w:tcW w:w="0" w:type="dxa"/>
            <w:vAlign w:val="bottom"/>
          </w:tcPr>
          <w:p>
            <w:pPr>
              <w:spacing w:after="0"/>
              <w:rPr>
                <w:sz w:val="1"/>
                <w:szCs w:val="1"/>
                <w:color w:val="auto"/>
              </w:rPr>
            </w:pPr>
          </w:p>
        </w:tc>
      </w:tr>
      <w:tr>
        <w:trPr>
          <w:trHeight w:val="233"/>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75,362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53"/>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171,030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53"/>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 of unvested early exercised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173,558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0" w:type="dxa"/>
            <w:vAlign w:val="bottom"/>
          </w:tcPr>
          <w:p>
            <w:pPr>
              <w:spacing w:after="0"/>
              <w:rPr>
                <w:sz w:val="1"/>
                <w:szCs w:val="1"/>
                <w:color w:val="auto"/>
              </w:rPr>
            </w:pPr>
          </w:p>
        </w:tc>
      </w:tr>
      <w:tr>
        <w:trPr>
          <w:trHeight w:val="253"/>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7,823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7,823</w:t>
            </w:r>
          </w:p>
        </w:tc>
        <w:tc>
          <w:tcPr>
            <w:tcW w:w="0" w:type="dxa"/>
            <w:vAlign w:val="bottom"/>
          </w:tcPr>
          <w:p>
            <w:pPr>
              <w:spacing w:after="0"/>
              <w:rPr>
                <w:sz w:val="1"/>
                <w:szCs w:val="1"/>
                <w:color w:val="auto"/>
              </w:rPr>
            </w:pPr>
          </w:p>
        </w:tc>
      </w:tr>
      <w:tr>
        <w:trPr>
          <w:trHeight w:val="202"/>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 on available-for-sale marketable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securities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4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(41,518)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(41,518)</w:t>
            </w:r>
          </w:p>
        </w:tc>
        <w:tc>
          <w:tcPr>
            <w:tcW w:w="0" w:type="dxa"/>
            <w:vAlign w:val="bottom"/>
          </w:tcPr>
          <w:p>
            <w:pPr>
              <w:spacing w:after="0"/>
              <w:rPr>
                <w:sz w:val="1"/>
                <w:szCs w:val="1"/>
                <w:color w:val="auto"/>
              </w:rPr>
            </w:pPr>
          </w:p>
        </w:tc>
      </w:tr>
      <w:tr>
        <w:trPr>
          <w:trHeight w:val="23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February 29, 2024</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49,136,954</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755,767</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(586,718)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168,748</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 and pre-funded warrants in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connection with equity financing, net of issuance</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costs of $12,518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11,916,667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188,720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188,732</w:t>
            </w:r>
          </w:p>
        </w:tc>
        <w:tc>
          <w:tcPr>
            <w:tcW w:w="0" w:type="dxa"/>
            <w:vAlign w:val="bottom"/>
          </w:tcPr>
          <w:p>
            <w:pPr>
              <w:spacing w:after="0"/>
              <w:rPr>
                <w:sz w:val="1"/>
                <w:szCs w:val="1"/>
                <w:color w:val="auto"/>
              </w:rPr>
            </w:pPr>
          </w:p>
        </w:tc>
      </w:tr>
      <w:tr>
        <w:trPr>
          <w:trHeight w:val="229"/>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Issuance of common stock in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at the market</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financing,</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of issuance costs of $1,684</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3,194,809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48,466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48,469</w:t>
            </w:r>
          </w:p>
        </w:tc>
        <w:tc>
          <w:tcPr>
            <w:tcW w:w="0" w:type="dxa"/>
            <w:vAlign w:val="bottom"/>
          </w:tcPr>
          <w:p>
            <w:pPr>
              <w:spacing w:after="0"/>
              <w:rPr>
                <w:sz w:val="1"/>
                <w:szCs w:val="1"/>
                <w:color w:val="auto"/>
              </w:rPr>
            </w:pPr>
          </w:p>
        </w:tc>
      </w:tr>
      <w:tr>
        <w:trPr>
          <w:trHeight w:val="253"/>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24,108</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33"/>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83,997</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3"/>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8,847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8,847</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on available-for-sale marketable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securities</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36"/>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(44,546)</w:t>
            </w:r>
          </w:p>
        </w:tc>
        <w:tc>
          <w:tcPr>
            <w:tcW w:w="0" w:type="dxa"/>
            <w:vAlign w:val="bottom"/>
          </w:tcPr>
          <w:p>
            <w:pPr>
              <w:spacing w:after="0"/>
              <w:rPr>
                <w:sz w:val="1"/>
                <w:szCs w:val="1"/>
                <w:color w:val="auto"/>
              </w:rPr>
            </w:pPr>
          </w:p>
        </w:tc>
      </w:tr>
      <w:tr>
        <w:trPr>
          <w:trHeight w:val="243"/>
        </w:trPr>
        <w:tc>
          <w:tcPr>
            <w:tcW w:w="39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as of May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64,356,535</w:t>
            </w:r>
          </w:p>
        </w:tc>
        <w:tc>
          <w:tcPr>
            <w:tcW w:w="10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1,002,028</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(631,264)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370,693</w:t>
            </w:r>
          </w:p>
        </w:tc>
        <w:tc>
          <w:tcPr>
            <w:tcW w:w="0" w:type="dxa"/>
            <w:vAlign w:val="bottom"/>
          </w:tcPr>
          <w:p>
            <w:pPr>
              <w:spacing w:after="0"/>
              <w:rPr>
                <w:sz w:val="1"/>
                <w:szCs w:val="1"/>
                <w:color w:val="auto"/>
              </w:rPr>
            </w:pPr>
          </w:p>
        </w:tc>
      </w:tr>
      <w:tr>
        <w:trPr>
          <w:trHeight w:val="202"/>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stock in “at the market” financing,</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of issuance costs of $920</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41,978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41,980</w:t>
            </w:r>
          </w:p>
        </w:tc>
        <w:tc>
          <w:tcPr>
            <w:tcW w:w="0" w:type="dxa"/>
            <w:vAlign w:val="bottom"/>
          </w:tcPr>
          <w:p>
            <w:pPr>
              <w:spacing w:after="0"/>
              <w:rPr>
                <w:sz w:val="1"/>
                <w:szCs w:val="1"/>
                <w:color w:val="auto"/>
              </w:rPr>
            </w:pPr>
          </w:p>
        </w:tc>
      </w:tr>
      <w:tr>
        <w:trPr>
          <w:trHeight w:val="253"/>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281,291</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3,034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3,035</w:t>
            </w:r>
          </w:p>
        </w:tc>
        <w:tc>
          <w:tcPr>
            <w:tcW w:w="0" w:type="dxa"/>
            <w:vAlign w:val="bottom"/>
          </w:tcPr>
          <w:p>
            <w:pPr>
              <w:spacing w:after="0"/>
              <w:rPr>
                <w:sz w:val="1"/>
                <w:szCs w:val="1"/>
                <w:color w:val="auto"/>
              </w:rPr>
            </w:pPr>
          </w:p>
        </w:tc>
      </w:tr>
      <w:tr>
        <w:trPr>
          <w:trHeight w:val="233"/>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197,777</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plan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102,920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0" w:type="dxa"/>
            <w:vAlign w:val="bottom"/>
          </w:tcPr>
          <w:p>
            <w:pPr>
              <w:spacing w:after="0"/>
              <w:rPr>
                <w:sz w:val="1"/>
                <w:szCs w:val="1"/>
                <w:color w:val="auto"/>
              </w:rPr>
            </w:pPr>
          </w:p>
        </w:tc>
      </w:tr>
      <w:tr>
        <w:trPr>
          <w:trHeight w:val="233"/>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8,762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8,762</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on available-for-sale marketable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securities</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(48,956)</w:t>
            </w:r>
          </w:p>
        </w:tc>
        <w:tc>
          <w:tcPr>
            <w:tcW w:w="0" w:type="dxa"/>
            <w:vAlign w:val="bottom"/>
          </w:tcPr>
          <w:p>
            <w:pPr>
              <w:spacing w:after="0"/>
              <w:rPr>
                <w:sz w:val="1"/>
                <w:szCs w:val="1"/>
                <w:color w:val="auto"/>
              </w:rPr>
            </w:pPr>
          </w:p>
        </w:tc>
      </w:tr>
      <w:tr>
        <w:trPr>
          <w:trHeight w:val="268"/>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31,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67,083,523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1,056,665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(680,220)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376,856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2060" w:type="dxa"/>
            <w:vAlign w:val="bottom"/>
            <w:gridSpan w:val="3"/>
            <w:vMerge w:val="restart"/>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99"/>
        </w:trPr>
        <w:tc>
          <w:tcPr>
            <w:tcW w:w="388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vMerge w:val="restart"/>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8"/>
                <w:szCs w:val="8"/>
                <w:color w:val="auto"/>
              </w:rPr>
            </w:pPr>
          </w:p>
        </w:tc>
        <w:tc>
          <w:tcPr>
            <w:tcW w:w="110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comprehensive</w:t>
            </w:r>
          </w:p>
        </w:tc>
        <w:tc>
          <w:tcPr>
            <w:tcW w:w="140" w:type="dxa"/>
            <w:vAlign w:val="bottom"/>
          </w:tcPr>
          <w:p>
            <w:pPr>
              <w:spacing w:after="0"/>
              <w:rPr>
                <w:sz w:val="8"/>
                <w:szCs w:val="8"/>
                <w:color w:val="auto"/>
              </w:rPr>
            </w:pPr>
          </w:p>
        </w:tc>
        <w:tc>
          <w:tcPr>
            <w:tcW w:w="1080" w:type="dxa"/>
            <w:vAlign w:val="bottom"/>
            <w:gridSpan w:val="2"/>
            <w:vMerge w:val="restart"/>
          </w:tcPr>
          <w:p>
            <w:pPr>
              <w:ind w:left="6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8"/>
                <w:szCs w:val="8"/>
                <w:color w:val="auto"/>
              </w:rPr>
            </w:pPr>
          </w:p>
        </w:tc>
        <w:tc>
          <w:tcPr>
            <w:tcW w:w="980" w:type="dxa"/>
            <w:vAlign w:val="bottom"/>
            <w:vMerge w:val="restart"/>
          </w:tcPr>
          <w:p>
            <w:pPr>
              <w:jc w:val="center"/>
              <w:ind w:right="61"/>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9"/>
        </w:trPr>
        <w:tc>
          <w:tcPr>
            <w:tcW w:w="38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880" w:type="dxa"/>
            <w:vAlign w:val="bottom"/>
          </w:tcPr>
          <w:p>
            <w:pPr>
              <w:spacing w:after="0"/>
              <w:rPr>
                <w:sz w:val="15"/>
                <w:szCs w:val="15"/>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40" w:type="dxa"/>
            <w:vAlign w:val="bottom"/>
          </w:tcPr>
          <w:p>
            <w:pPr>
              <w:spacing w:after="0"/>
              <w:rPr>
                <w:sz w:val="15"/>
                <w:szCs w:val="15"/>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5"/>
                <w:szCs w:val="15"/>
                <w:color w:val="auto"/>
              </w:rPr>
            </w:pPr>
          </w:p>
        </w:tc>
        <w:tc>
          <w:tcPr>
            <w:tcW w:w="980" w:type="dxa"/>
            <w:vAlign w:val="bottom"/>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2"/>
              </w:rPr>
              <w:t>equity</w:t>
            </w:r>
          </w:p>
        </w:tc>
        <w:tc>
          <w:tcPr>
            <w:tcW w:w="0" w:type="dxa"/>
            <w:vAlign w:val="bottom"/>
          </w:tcPr>
          <w:p>
            <w:pPr>
              <w:spacing w:after="0"/>
              <w:rPr>
                <w:sz w:val="1"/>
                <w:szCs w:val="1"/>
                <w:color w:val="auto"/>
              </w:rPr>
            </w:pPr>
          </w:p>
        </w:tc>
      </w:tr>
      <w:tr>
        <w:trPr>
          <w:trHeight w:val="29"/>
        </w:trPr>
        <w:tc>
          <w:tcPr>
            <w:tcW w:w="3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November 30,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75,870,718</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1,265,536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(738,769)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526,993</w:t>
            </w:r>
          </w:p>
        </w:tc>
        <w:tc>
          <w:tcPr>
            <w:tcW w:w="0" w:type="dxa"/>
            <w:vAlign w:val="bottom"/>
          </w:tcPr>
          <w:p>
            <w:pPr>
              <w:spacing w:after="0"/>
              <w:rPr>
                <w:sz w:val="1"/>
                <w:szCs w:val="1"/>
                <w:color w:val="auto"/>
              </w:rPr>
            </w:pPr>
          </w:p>
        </w:tc>
      </w:tr>
      <w:tr>
        <w:trPr>
          <w:trHeight w:val="233"/>
        </w:trPr>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37,428</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53"/>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242,923</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83,730</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0" w:type="dxa"/>
            <w:vAlign w:val="bottom"/>
          </w:tcPr>
          <w:p>
            <w:pPr>
              <w:spacing w:after="0"/>
              <w:rPr>
                <w:sz w:val="1"/>
                <w:szCs w:val="1"/>
                <w:color w:val="auto"/>
              </w:rPr>
            </w:pPr>
          </w:p>
        </w:tc>
      </w:tr>
      <w:tr>
        <w:trPr>
          <w:trHeight w:val="253"/>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8,726</w:t>
            </w:r>
          </w:p>
        </w:tc>
        <w:tc>
          <w:tcPr>
            <w:tcW w:w="0" w:type="dxa"/>
            <w:vAlign w:val="bottom"/>
          </w:tcPr>
          <w:p>
            <w:pPr>
              <w:spacing w:after="0"/>
              <w:rPr>
                <w:sz w:val="1"/>
                <w:szCs w:val="1"/>
                <w:color w:val="auto"/>
              </w:rPr>
            </w:pPr>
          </w:p>
        </w:tc>
      </w:tr>
      <w:tr>
        <w:trPr>
          <w:trHeight w:val="202"/>
        </w:trPr>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 on available-for-sale marketable</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securities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4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(56,351)</w:t>
            </w:r>
          </w:p>
        </w:tc>
        <w:tc>
          <w:tcPr>
            <w:tcW w:w="0" w:type="dxa"/>
            <w:vAlign w:val="bottom"/>
          </w:tcPr>
          <w:p>
            <w:pPr>
              <w:spacing w:after="0"/>
              <w:rPr>
                <w:sz w:val="1"/>
                <w:szCs w:val="1"/>
                <w:color w:val="auto"/>
              </w:rPr>
            </w:pPr>
          </w:p>
        </w:tc>
      </w:tr>
      <w:tr>
        <w:trPr>
          <w:trHeight w:val="23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February 28, 2025</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76,234,799</w:t>
            </w:r>
          </w:p>
        </w:tc>
        <w:tc>
          <w:tcPr>
            <w:tcW w:w="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1,275,735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(795,120)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480,917</w:t>
            </w:r>
          </w:p>
        </w:tc>
        <w:tc>
          <w:tcPr>
            <w:tcW w:w="0" w:type="dxa"/>
            <w:vAlign w:val="bottom"/>
          </w:tcPr>
          <w:p>
            <w:pPr>
              <w:spacing w:after="0"/>
              <w:rPr>
                <w:sz w:val="1"/>
                <w:szCs w:val="1"/>
                <w:color w:val="auto"/>
              </w:rPr>
            </w:pPr>
          </w:p>
        </w:tc>
      </w:tr>
      <w:tr>
        <w:trPr>
          <w:trHeight w:val="253"/>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3"/>
        </w:trPr>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197,632</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10,390</w:t>
            </w:r>
          </w:p>
        </w:tc>
        <w:tc>
          <w:tcPr>
            <w:tcW w:w="0" w:type="dxa"/>
            <w:vAlign w:val="bottom"/>
          </w:tcPr>
          <w:p>
            <w:pPr>
              <w:spacing w:after="0"/>
              <w:rPr>
                <w:sz w:val="1"/>
                <w:szCs w:val="1"/>
                <w:color w:val="auto"/>
              </w:rPr>
            </w:pPr>
          </w:p>
        </w:tc>
      </w:tr>
      <w:tr>
        <w:trPr>
          <w:trHeight w:val="202"/>
        </w:trPr>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loss on available-for-sale marketable</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securities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4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(43,464)</w:t>
            </w:r>
          </w:p>
        </w:tc>
        <w:tc>
          <w:tcPr>
            <w:tcW w:w="0" w:type="dxa"/>
            <w:vAlign w:val="bottom"/>
          </w:tcPr>
          <w:p>
            <w:pPr>
              <w:spacing w:after="0"/>
              <w:rPr>
                <w:sz w:val="1"/>
                <w:szCs w:val="1"/>
                <w:color w:val="auto"/>
              </w:rPr>
            </w:pPr>
          </w:p>
        </w:tc>
      </w:tr>
      <w:tr>
        <w:trPr>
          <w:trHeight w:val="23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May 31, 2025</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76,433,664</w:t>
            </w:r>
          </w:p>
        </w:tc>
        <w:tc>
          <w:tcPr>
            <w:tcW w:w="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1,286,131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(838,584)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447,603</w:t>
            </w:r>
          </w:p>
        </w:tc>
        <w:tc>
          <w:tcPr>
            <w:tcW w:w="0" w:type="dxa"/>
            <w:vAlign w:val="bottom"/>
          </w:tcPr>
          <w:p>
            <w:pPr>
              <w:spacing w:after="0"/>
              <w:rPr>
                <w:sz w:val="1"/>
                <w:szCs w:val="1"/>
                <w:color w:val="auto"/>
              </w:rPr>
            </w:pPr>
          </w:p>
        </w:tc>
      </w:tr>
      <w:tr>
        <w:trPr>
          <w:trHeight w:val="253"/>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18,822</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33"/>
        </w:trPr>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311,485</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plan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108,715</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0" w:type="dxa"/>
            <w:vAlign w:val="bottom"/>
          </w:tcPr>
          <w:p>
            <w:pPr>
              <w:spacing w:after="0"/>
              <w:rPr>
                <w:sz w:val="1"/>
                <w:szCs w:val="1"/>
                <w:color w:val="auto"/>
              </w:rPr>
            </w:pPr>
          </w:p>
        </w:tc>
      </w:tr>
      <w:tr>
        <w:trPr>
          <w:trHeight w:val="233"/>
        </w:trPr>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9,776</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on available-for-sale marketable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securities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37"/>
        </w:trPr>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(86,421)</w:t>
            </w:r>
          </w:p>
        </w:tc>
        <w:tc>
          <w:tcPr>
            <w:tcW w:w="0" w:type="dxa"/>
            <w:vAlign w:val="bottom"/>
          </w:tcPr>
          <w:p>
            <w:pPr>
              <w:spacing w:after="0"/>
              <w:rPr>
                <w:sz w:val="1"/>
                <w:szCs w:val="1"/>
                <w:color w:val="auto"/>
              </w:rPr>
            </w:pPr>
          </w:p>
        </w:tc>
      </w:tr>
      <w:tr>
        <w:trPr>
          <w:trHeight w:val="268"/>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76,872,686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1,297,061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(925,005)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372,252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7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Nine Months Ended August 31,</w:t>
            </w: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(186,236)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(135,020)</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25,421</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accretion of discount on marketable securities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(123,833)</w:t>
            </w:r>
          </w:p>
        </w:tc>
        <w:tc>
          <w:tcPr>
            <w:tcW w:w="0" w:type="dxa"/>
            <w:vAlign w:val="bottom"/>
          </w:tcPr>
          <w:p>
            <w:pPr>
              <w:spacing w:after="0"/>
              <w:rPr>
                <w:sz w:val="1"/>
                <w:szCs w:val="1"/>
                <w:color w:val="auto"/>
              </w:rPr>
            </w:pPr>
          </w:p>
        </w:tc>
      </w:tr>
      <w:tr>
        <w:trPr>
          <w:trHeight w:val="23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(409,738)</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300,010</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0" w:type="dxa"/>
            <w:vAlign w:val="bottom"/>
          </w:tcPr>
          <w:p>
            <w:pPr>
              <w:spacing w:after="0"/>
              <w:rPr>
                <w:sz w:val="1"/>
                <w:szCs w:val="1"/>
                <w:color w:val="auto"/>
              </w:rPr>
            </w:pPr>
          </w:p>
        </w:tc>
      </w:tr>
      <w:tr>
        <w:trPr>
          <w:trHeight w:val="237"/>
        </w:trPr>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(116,896)</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issuances of common stock and pre-funded warrants in equity financing, net of issuance costs</w:t>
            </w:r>
          </w:p>
        </w:tc>
        <w:tc>
          <w:tcPr>
            <w:tcW w:w="3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188,732</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issuances of common stock in “at the market” financing, net of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90,691</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unvested early exercised stock options</w:t>
            </w:r>
          </w:p>
        </w:tc>
        <w:tc>
          <w:tcPr>
            <w:tcW w:w="3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285,146</w:t>
            </w:r>
          </w:p>
        </w:tc>
        <w:tc>
          <w:tcPr>
            <w:tcW w:w="0" w:type="dxa"/>
            <w:vAlign w:val="bottom"/>
          </w:tcPr>
          <w:p>
            <w:pPr>
              <w:spacing w:after="0"/>
              <w:rPr>
                <w:sz w:val="1"/>
                <w:szCs w:val="1"/>
                <w:color w:val="auto"/>
              </w:rPr>
            </w:pPr>
          </w:p>
        </w:tc>
      </w:t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44,417</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55,528</w:t>
            </w:r>
          </w:p>
        </w:tc>
        <w:tc>
          <w:tcPr>
            <w:tcW w:w="0" w:type="dxa"/>
            <w:vAlign w:val="bottom"/>
          </w:tcPr>
          <w:p>
            <w:pPr>
              <w:spacing w:after="0"/>
              <w:rPr>
                <w:sz w:val="1"/>
                <w:szCs w:val="1"/>
                <w:color w:val="auto"/>
              </w:rPr>
            </w:pPr>
          </w:p>
        </w:tc>
      </w:tr>
      <w:tr>
        <w:trPr>
          <w:trHeight w:val="26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99,945</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and equipment included in accounts payable and accrued expenses and other current</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tcPr>
          <w:p>
            <w:pPr>
              <w:spacing w:after="0"/>
              <w:rPr>
                <w:sz w:val="19"/>
                <w:szCs w:val="19"/>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39"/>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recognized in exchange for lease obligations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issuance costs included in accrued expenses and other current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issuance costs recognized related to the “at the market” financing</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early exercised stock options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August 31,</w:t>
            </w:r>
          </w:p>
        </w:tc>
        <w:tc>
          <w:tcPr>
            <w:tcW w:w="1020" w:type="dxa"/>
            <w:vAlign w:val="bottom"/>
          </w:tcPr>
          <w:p>
            <w:pPr>
              <w:spacing w:after="0"/>
              <w:rPr>
                <w:sz w:val="16"/>
                <w:szCs w:val="16"/>
                <w:color w:val="auto"/>
              </w:rPr>
            </w:pPr>
          </w:p>
        </w:tc>
      </w:tr>
      <w:tr>
        <w:trPr>
          <w:trHeight w:val="23"/>
        </w:trPr>
        <w:tc>
          <w:tcPr>
            <w:tcW w:w="79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79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78,438</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99,044</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43"/>
        </w:trPr>
        <w:tc>
          <w:tcPr>
            <w:tcW w:w="7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79,406</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99,945</w:t>
            </w:r>
          </w:p>
        </w:tc>
      </w:tr>
      <w:tr>
        <w:trPr>
          <w:trHeight w:val="27"/>
        </w:trPr>
        <w:tc>
          <w:tcPr>
            <w:tcW w:w="79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Nurix Therapeutics, Inc. (the Company) was incorporated in the state of Delaware on August 27, 2009, and is headquartered in San Francisco, California. The Company is a clinical stage biopharmaceutical company focused on the discovery, development and commercialization of innovative small molecules and antibody therapies based on the degradation of cellular protein levels as a novel treatment approach for cancer, inflammatory conditions and other challenging diseases. Leveraging the Company’s expertise in E3 ligases together with its proprietary DNA-encoded libraries, the Company has built DEL-AI, a fully AI-integrated discovery platform to identify and advance novel drug candidates targeting E3 ligases, a broad class of enzymes that can degrade proteins within the cell. The Company’s drug discovery approach is to either harness or inhibit the natural function of E3 ligases within the ubiquitin-proteasome system to selectively decrease or increase cellular protein levels. The Company’s wholly owned, clinical stage pipeline includes targeted protein degraders of Bruton’s tyrosine kinase, a B-cell signaling protein, and inhibitors of Casitas B-lineage lymphoma proto-oncogene B, an E3 ligase that regulates activation of multiple immune cell types including T cells and NK cells. The Company’s partnered drug discovery pipeline consists of multiple programs under collaboration agreements with Gilead Sciences, Inc. (Gilead), Sanofi S.A. (Sanofi) and Seagen Inc. (now a part of Pfizer Inc. (Pfizer)), within which the Company retains certain options for co-development, co-commercialization and profit sharing in the United States for multiple drug candidates.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w:t>
      </w:r>
    </w:p>
    <w:p>
      <w:pPr>
        <w:spacing w:after="0" w:line="121"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In August 2021, the Company filed a shelf registration statement on Form S-3 with the Securities and Exchange Commission (SEC), which was amended in February 2023 (the Shelf Registration Statement) and which expired in August 2024 with respect to additional sales of securities. The Shelf Registration Statement, which included a base prospectus, allowed the Company to offer and sell up to $450.0 million of the Company’s registered common stock, preferred stock, debt securities, warrants, subscriptions rights and/or units or any combination of securities described in the prospectus in one or more offerings. In addition, in August 2021, the Company entered into an Equity Distribution Agreement with Piper Sandler &amp; Co. (Piper Sandler) pursuant to which, from time to time, the Company could offer and sell through Piper Sandler up to $150.0 million of the common stock registered under the Shelf Registration Statement pursuant to one or more “at the market” offerings.</w:t>
      </w:r>
    </w:p>
    <w:p>
      <w:pPr>
        <w:spacing w:after="0" w:line="73"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The Company was not required to sell any shares at any time during the term of the Equity Distribution Agreement. The Company agreed to pay Piper Sandler a commission of 3.0% of the gross sales price of any shares sold pursuant to the Equity Distribution Agreement. In June 2022, the Company issued and sold 2,000,000 shares of common stock under the Equity Distribution Agreement at a price of $10.00 per share for net proceeds of $19.3 million after deducting offering commissions and expenses paid by the Company. In May 2024, the Company issued and sold 3,194,809 shares of common stock under the Equity Distribution Agreement at various prices ranging from $15.50 to $16.00 per share for total net proceeds of $48.5 million, after deducting offering commissions and expenses paid by the Company.</w:t>
      </w:r>
    </w:p>
    <w:p>
      <w:pPr>
        <w:spacing w:after="0" w:line="72" w:lineRule="exact"/>
        <w:rPr>
          <w:sz w:val="20"/>
          <w:szCs w:val="20"/>
          <w:color w:val="auto"/>
        </w:rPr>
      </w:pPr>
    </w:p>
    <w:p>
      <w:pPr>
        <w:ind w:right="200" w:firstLine="648"/>
        <w:spacing w:after="0" w:line="247" w:lineRule="auto"/>
        <w:rPr>
          <w:sz w:val="20"/>
          <w:szCs w:val="20"/>
          <w:color w:val="auto"/>
        </w:rPr>
      </w:pPr>
      <w:r>
        <w:rPr>
          <w:rFonts w:ascii="Times New Roman" w:cs="Times New Roman" w:eastAsia="Times New Roman" w:hAnsi="Times New Roman"/>
          <w:sz w:val="18"/>
          <w:szCs w:val="18"/>
          <w:color w:val="auto"/>
        </w:rPr>
        <w:t>In June 2024, the Company filed an automatic shelf registration statement on Form S-3 (the Automatic Shelf Registration Statement). The Automatic Shelf Registration Statement, which includes a base prospectus, allows the Company at any time to offer and sell the Company’s registered common stock, preferred stock, debt securities, warrants, subscriptions rights and/or units or any combination of securities described in the prospectus in one or more offerings. On July 11, 2024, the Company entered into Amendment No. 1 to the Equity Distribution Agreement (as amended, the Amended Equity Distribution Agreement), pursuant to which, from time to time, the Company may offer and sell through Piper Sandler up to $150.0 million of common stock registered under the Automatic Shelf Registration Statement pursuant to one or more “at the market” offerings.</w:t>
      </w:r>
    </w:p>
    <w:p>
      <w:pPr>
        <w:spacing w:after="0" w:line="72"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The Company was not required to sell any shares at any time during the term of the Amended Equity Distribution Agreement. The Company agreed to pay Piper Sandler a commission of up to 3.0% of the gross sales price of any shares sold pursuant to the Amended Equity Distribution Agreement. In August 2024, the Company issued and sold 2,145,000 shares of common stock under the Amended Equity Distribution Agreement at a price of $20.00 per share for total net proceeds of $42.0 million, after deducting offering commissions and expenses paid by the Company. In October 2024, the Company issued and sold 4,803,573 shares of common stock under the Amended Equity Distribution Agreement at various prices ranging from $21.50 to $25.00 per share for total net proceeds of $105.3 million, after deducting offering commissions and expenses paid by the Company.</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On October 31, 2024, the Company entered into Amendment No. 2 to the Equity Distribution Agreement (as amended, the Second Amended Equity Distribution Agreement), pursuant to which, from time to time, the Company may offer and sell through Piper Sandler up to $300.0 million of common stock registered under the Automatic Shelf Registration Statement pursuant to one or more “at the market” offerings. The Company is not required to sell any shares at any time during the term of the Second Amended Equity Distribution Agreement. The Company agreed to pay Piper Sandler a commission of up to 3.0% of the gross sales price of any shares sold pursuant to the Second Amended Equity Distribution Agreement. In November 2024, the Company issued and sold 3,634,393 shares of common stock under the Second Amended Equity Distribution Agreement at a price of $26.25 per share for total net proceeds of $93.6 million, after deducting offering commissions and expenses paid by the Company. As of August 31, 2025, the Company had $204.6 million of common stock remaining available for sale under the Second Amended Equity Distribution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w:t>
      </w:r>
    </w:p>
    <w:p>
      <w:pPr>
        <w:spacing w:after="0" w:line="80" w:lineRule="exact"/>
        <w:rPr>
          <w:sz w:val="20"/>
          <w:szCs w:val="20"/>
          <w:color w:val="auto"/>
        </w:rPr>
      </w:pPr>
    </w:p>
    <w:p>
      <w:pPr>
        <w:ind w:right="20" w:firstLine="648"/>
        <w:spacing w:after="0" w:line="224" w:lineRule="exact"/>
        <w:rPr>
          <w:sz w:val="20"/>
          <w:szCs w:val="20"/>
          <w:color w:val="auto"/>
        </w:rPr>
      </w:pPr>
      <w:r>
        <w:rPr>
          <w:rFonts w:ascii="Times New Roman" w:cs="Times New Roman" w:eastAsia="Times New Roman" w:hAnsi="Times New Roman"/>
          <w:sz w:val="18"/>
          <w:szCs w:val="18"/>
          <w:color w:val="auto"/>
        </w:rPr>
        <w:t>In July 2022, the Company entered into separate securities purchase agreements with certain purchasers to issue and sell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an aggregate of 6,814,920 shares of the Company’s common stock in registered direct offerings (RDOs) at a price of $13.939 per pre-funded warrant (the 2022 Pre-Funded Warrants). Net proceeds from the RDOs were $94.8 million, after deducting offering expenses of $0.2 million. Refer to Note 7 for more information regarding the 2022 Pre-Funded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121"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18"/>
          <w:szCs w:val="18"/>
          <w:color w:val="auto"/>
        </w:rPr>
        <w:t>In April 2024, the Company completed a public offering (2024 Public Offering) pursuant to the Shelf Registration Statement and issued 11,916,667 shares of common stock (including the exercise by the underwriters of their option to purchase an additional 1,750,000 shares of common stock) at a price to the public of $15.00 per share, and pre-funded warrants to purchase an aggregate of 1,500,100 shares of the Company’s common stock at a price of $14.999 per pre-funded warrant (the 2024 Pre-Funded Warrants). Net proceeds from the 2024 Public Offering were approximately</w:t>
      </w:r>
    </w:p>
    <w:p>
      <w:pPr>
        <w:spacing w:after="0" w:line="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$188.7 million, after deducting offering commissions and expenses of $12.5 million. Refer to Note 7 for more information regarding the 2024 Pre-Funded Warrants.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 Plans</w:t>
      </w:r>
    </w:p>
    <w:p>
      <w:pPr>
        <w:spacing w:after="0" w:line="121" w:lineRule="exact"/>
        <w:rPr>
          <w:sz w:val="20"/>
          <w:szCs w:val="20"/>
          <w:color w:val="auto"/>
        </w:rPr>
      </w:pPr>
    </w:p>
    <w:p>
      <w:pPr>
        <w:ind w:right="180" w:firstLine="648"/>
        <w:spacing w:after="0" w:line="247" w:lineRule="auto"/>
        <w:rPr>
          <w:sz w:val="20"/>
          <w:szCs w:val="20"/>
          <w:color w:val="auto"/>
        </w:rPr>
      </w:pPr>
      <w:r>
        <w:rPr>
          <w:rFonts w:ascii="Times New Roman" w:cs="Times New Roman" w:eastAsia="Times New Roman" w:hAnsi="Times New Roman"/>
          <w:sz w:val="18"/>
          <w:szCs w:val="18"/>
          <w:color w:val="auto"/>
        </w:rPr>
        <w:t>The Company’s operations have historically been financed through the issuance of common stock, redeemable convertible preferred stock and pre-funded warrants and proceeds received under the Company’s collaboration and license agreements. Since inception, the Company has generally incurred significant losses and negative net cash flows from operations. The Company does not expect its existing cash, cash equivalents and marketable securities to be sufficient to fund the completion of its clinical trials through commercialization and will need substantial additional funding to support its continuing operations and pursue its long-term business plan. The Company anticipates incurring additional losses until such time, if ever, that it can generate significant sales of its drug candidates currently in development.</w:t>
      </w:r>
    </w:p>
    <w:p>
      <w:pPr>
        <w:spacing w:after="0" w:line="72"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assuming that the Company will continue as a going concern. As of August 31, 2025, the Company had cash, cash equivalents and marketable securities of $428.8 million and an accumulated deficit of $925.0 million. Management believes that its cash, cash equivalents and marketable securities are sufficient to continue operating activities for at least 12 months following the issuance date of these condensed financial statements. Future capital requirements will depend on many factors, including the timing and extent of spending on research and development and payments the Company may receive under its collaboration agreements with Sanofi, Gilead and Pfizer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 Management considered whether there are conditions or events that raise substantial doubt about the Company’s ability to continue as a going concern and evaluated the funds necessary to maintain operations. Based on the Company’s current forecast of future operating results, the Company has concluded that its cash, cash equivalents and marketable securities are sufficient to continue operating activities for at least 12 months following the issuance date of these condensed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Company’s condensed financial statements have been prepared in accordance with U.S. generally accepted accounting principles (U.S. GAAP) and applicable rules and regulations of the SEC regarding interim financial reporting. The Company’s condensed financial statements have been prepared on the same basis as the annual financial statements and reflect, in the opinion of management, all adjustments of a normal and recurring nature that are necessary for the fair statement of the Company’s financial position as of and for the three and nine months ended August 31, 2025. The condensed balance sheet as of November 30, 2024, was derived from the audited annual financial statements as of that date. Certain information and footnote disclosures normally included in financial statements prepared in accordance with U.S. GAAP have been condensed or omitted from these interim financial statements. These interim financial statements and related disclosures have been prepared with the presumption that users of the interim financial statements have read or have access to the audited annual financial statements for the preceding fiscal year. Accordingly, these financial statements should be read in conjunction with the audited annual financial statements and notes thereto contained in the Company’s Annual Report on Form 10-K for the year ended November 30, 2024, as filed with the SEC on January 28, 2025. These interim results are not necessarily indicative of results to be expected for the full fiscal year or any future interim period. Subsequent to November 30, 2023, amounts presented in the financial statements are unconsolidated as the Company had no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also makes certain commencement date estimates for its leases, including the incremental borrowing rate, the expected lease term and the fair value of the leased asset. The Company bases its estimates on historical experience and on other relevant assumptions that are reasonable under the circumstances. Actual results could differ materially from those estimates. Refer to Note 3 for more information regarding the estimates related to revenue recognition.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cash equivalents and marketable securities. The Company’s marketable securities consist of debt securities issued by highly rated corporate entities, the U.S. federal government or state and local governments. The Company’s exposure to any individual corporate entity is limited by policy. Deposits may, at times, exceed federally insured limits. The Company invests its cash equivalents in highly rated money market funds. During the periods presented, the Company has not experienced any losses on its deposits of cash, cash equivalents or marketable securities.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Risks and Uncertainties</w:t>
      </w:r>
    </w:p>
    <w:p>
      <w:pPr>
        <w:spacing w:after="0" w:line="12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clinical 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spacing w:after="0" w:line="87"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18"/>
          <w:szCs w:val="18"/>
          <w:color w:val="auto"/>
        </w:rPr>
        <w:t>Moreover, the Company is subject to risks and uncertainties as a result of global business, political and macroeconomic events and conditions, including increasing financial market volatility and uncertainty, inflation, interest rate fluctuations, uncertainty with respect to the federal budget and debt ceiling and potential government shutdowns related thereto, potential instability in the global banking system, cybersecurity events, the impact of war or military conflict, including regional conflicts around the world, and public health pandemics. The extent to which business, political and macroeconomic factors, including increasing financial market volatility and uncertainty, will impact the Company’s business will depend on future developments that are highly uncertain and cannot be predicted at this time.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condensed financial statements and accompanying notes. The extent to which the increasing financial market volatility and uncertainty may directly or indirectly impact the condensed financial statements is highly uncertain and subject to change.</w:t>
      </w:r>
    </w:p>
    <w:p>
      <w:pPr>
        <w:spacing w:after="0" w:line="61"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relies on single source manufacturers and suppliers for the supply of its drug candidates. Disruption from these manufacturers or suppliers would have a negative impact on the Company’s business, financial position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and the classification of the lease at inception. An arrangement contains a lease if there is an identified asset and if the Company controls the use of the identified asset throughout the period of use. The evaluation of whether the lease is an operating or a finance lease requires judgments in determining the fair value of the leased asset. Lease right-of-use (ROU) assets and lease liabilities are recognized at the lease commencement date based on the present value of the future minimum lease payments over the lease term at the commencement date. ROU assets also include any initial direct costs incurred and any lease payments made on or before the lease commencement date, less any lease incentives received. The Company uses its incremental borrowing rate, if an implicit rate is not readily determinable, and the information available at the date of lease commencement in determining its lease liabilities. The Company’s incremental borrowing rate is based on the rate of interest that the Company would have to pay to borrow on a collateralized basis over a similar term, an amount equal to the lease payments in a similar economic environment, and the determination of the rate requires the Company to make certain assumptions and judgments, including on its synthetic credit rating. Leases may include options to extend or early terminate the lease term. If the Company, using judgment, is reasonably certain that an option will be exercised, then the option will be included in the calculation of the lease term. The Company elected to combine lease and non-lease components for all underlying assets groups, and not recognize ROU assets or lease liabilities for short-term leases. A short-term lease is a lease that, at the commencement date, has a lease term of 12 months or less and does not include an option to purchase the underlying asset that the lessee is reasonably certain to exercise. Lease expense for operating leases is recognized on a straight-line basis over the lease term. The Company does not have any finance leases.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the Company expects to receive in exchange for those goods or services. To recognize revenue from a contract with a customer, the Company performs the following five steps:</w:t>
      </w:r>
    </w:p>
    <w:p>
      <w:pPr>
        <w:spacing w:after="0" w:line="61" w:lineRule="exact"/>
        <w:rPr>
          <w:sz w:val="20"/>
          <w:szCs w:val="20"/>
          <w:color w:val="auto"/>
        </w:rPr>
      </w:pPr>
    </w:p>
    <w:p>
      <w:pPr>
        <w:ind w:left="1940" w:hanging="312"/>
        <w:spacing w:after="0"/>
        <w:tabs>
          <w:tab w:leader="none" w:pos="1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1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03"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0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104" w:lineRule="exact"/>
        <w:rPr>
          <w:sz w:val="20"/>
          <w:szCs w:val="20"/>
          <w:color w:val="auto"/>
        </w:rPr>
      </w:pPr>
    </w:p>
    <w:p>
      <w:pPr>
        <w:jc w:val="both"/>
        <w:ind w:right="520" w:firstLine="648"/>
        <w:spacing w:after="0" w:line="258" w:lineRule="auto"/>
        <w:rPr>
          <w:sz w:val="20"/>
          <w:szCs w:val="20"/>
          <w:color w:val="auto"/>
        </w:rPr>
      </w:pPr>
      <w:r>
        <w:rPr>
          <w:rFonts w:ascii="Times New Roman" w:cs="Times New Roman" w:eastAsia="Times New Roman" w:hAnsi="Times New Roman"/>
          <w:sz w:val="18"/>
          <w:szCs w:val="18"/>
          <w:color w:val="auto"/>
        </w:rPr>
        <w:t>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61"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spacing w:after="0" w:line="73"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Exclusive license rights: If a license to the Company’s intellectual property is determined to be distinct from the other promises identified in the arrangement, the Company recognizes revenue from nonrefundable, upfront payments allocated to the license when the license is transferred to the customer and the customer is able to use and benefit from the license and the underlying intellectual property. If the license is the predominant promise, and it is determined that the license represents functional intellectual property, revenue is recognized at the point in time when control of the license is transferred. If it is determined that the license does not represent functional intellectual property, revenue is recognized over time using an appropriate method of measuring progress.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Research and collaboration licenses: Collaboration agreements may include research licenses and research and development services to be performed by the Company. For research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spacing w:after="0" w:line="72"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Milestone payments: At the inception of each arrangement that includes research, development or regulatory milestone payments, the Company 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87"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Sales-based milestones and royalties: For arrangements that include sales-based milestone or royalty payments based on the level of sales, and in 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69"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Customer options: Customer options, such as options granted to allow a licensee to extend a license or research term, to select additional research 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 If the option does not provide a material right, then the option is considered a marketing offer, which would be accounted for as a separate contract upon exercise.</w:t>
      </w:r>
    </w:p>
    <w:p>
      <w:pPr>
        <w:spacing w:after="0" w:line="78"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Deferred revenue, which is a contract liability, represents net amounts received by the Company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80" w:lineRule="exact"/>
        <w:rPr>
          <w:sz w:val="20"/>
          <w:szCs w:val="20"/>
          <w:color w:val="auto"/>
        </w:rPr>
      </w:pPr>
    </w:p>
    <w:p>
      <w:pPr>
        <w:ind w:right="140" w:firstLine="648"/>
        <w:spacing w:after="0" w:line="217" w:lineRule="exact"/>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 Update (ASU) No.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07, Segment Reporting (Topic 280)—Improvements to Reportable Segment Disclosures (ASU 2023-07), which is intended to improve reportable segment disclosure requirements, primarily through enhanced disclosures about significant segment expenses. This amendment is effective for the Company in the fiscal year beginning December 1, 2024, and interim periods within the fiscal year beginning December 1, 2025, on a retrospective basis with early adoption permitted. The Company does not expect the adoption of this standard to have a material impact on its condensed financial statements. The Company will adopt ASU 2023-07 for the annual reporting period ending November 30, 2025, and for the interim reporting periods thereafter.</w:t>
      </w:r>
    </w:p>
    <w:p>
      <w:pPr>
        <w:spacing w:after="0" w:line="9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7"/>
          <w:szCs w:val="17"/>
          <w:color w:val="auto"/>
        </w:rPr>
        <w:t>In December 2023, the FASB issued ASU 2023-09—Income Taxes (Topic 740): Improvements to Income Tax Disclosures (ASU 2023-09), which is intended to enhance the transparency and decision usefulness of income tax disclosures, primarily by amending disclosure requirements for the effective tax rate reconciliation and income taxes paid. ASU 2023-09 should be applied on a prospective basis, and retrospective application is permitted. ASU</w:t>
      </w:r>
    </w:p>
    <w:p>
      <w:pPr>
        <w:spacing w:after="0" w:line="2"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color w:val="auto"/>
        </w:rPr>
        <w:t>2023-09 is effective for annual periods beginning after December 15, 2024. Early adoption is permitted. The Company is in the process of evaluating the impact of this new guidance on its disclosures.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 November 2024, the FASB issued ASU 2024-03—Income Statement—Reporting Comprehensive Income—Expense Disaggregation</w:t>
      </w:r>
    </w:p>
    <w:p>
      <w:pPr>
        <w:spacing w:after="0" w:line="1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Disclosures (Subtopic 220-40): Disaggregation of Income Statement Expenses (ASU 2024-03), which is intended to enhance transparency into the nature and function of expenses, primarily through additional disclosures on certain cost and expenses. ASU 2024-03 should be applied on a prospective basis, and retrospective application is permitted. ASU 2024-03 is effective for annual periods beginning after December 15, 2026, and interim reporting periods beginning after December 15, 2027. Early adoption is permitted. The Company is in the process of evaluating the impact of this new guidance on its disclosures.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w:t>
      </w:r>
    </w:p>
    <w:p>
      <w:pPr>
        <w:spacing w:after="0" w:line="12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7"/>
          <w:szCs w:val="17"/>
          <w:color w:val="auto"/>
        </w:rPr>
        <w:t>In June 2019, the Company entered into a global strategic collaboration agreement with Gilead (as subsequently amended, the Gilead Agreement) to discover, develop and commercialize a pipeline of targeted protein degradation drugs for patients with cancer and other challenging diseases using the Company’s DEL-AI platform to identify novel agents that utilize E3 ligases to induce degradation of five specified drug targets. In August 2019 and September 2022, the Company and Gilead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(Gilead Research Term Extension). The Gilead Research Term Extension triggered a $15.0 million payment that the Company received in the second quarter of fiscal year 2024.</w:t>
      </w:r>
    </w:p>
    <w:p>
      <w:pPr>
        <w:spacing w:after="0" w:line="59"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 In March 2023, Gilead exercised the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the Company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spacing w:after="0" w:line="75" w:lineRule="exact"/>
        <w:rPr>
          <w:sz w:val="20"/>
          <w:szCs w:val="20"/>
          <w:color w:val="auto"/>
        </w:rPr>
      </w:pPr>
    </w:p>
    <w:p>
      <w:pPr>
        <w:ind w:right="120" w:firstLine="648"/>
        <w:spacing w:after="0" w:line="243" w:lineRule="auto"/>
        <w:rPr>
          <w:sz w:val="20"/>
          <w:szCs w:val="20"/>
          <w:color w:val="auto"/>
        </w:rPr>
      </w:pPr>
      <w:r>
        <w:rPr>
          <w:rFonts w:ascii="Times New Roman" w:cs="Times New Roman" w:eastAsia="Times New Roman" w:hAnsi="Times New Roman"/>
          <w:sz w:val="18"/>
          <w:szCs w:val="18"/>
          <w:color w:val="auto"/>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spacing w:after="0" w:line="92"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Upon signing the Gilead Agreement, Gilead paid the Company an upfront payment of $45.0 million plus $3.0 million in additional fees. In addition, from the signing of the Gilead Agreement to August 31, 2025, the Company has received payments of $47.0 million for research milestones and additional payments, $20.0 million for a license option exercise payment, $15.0 million in research term extension fees and $5.0 million for a clinical milestone payment. As of August 31, 2025, the Company is eligible to receive up to approximately $1.8 billion in total additional payments, including payments of up to $508.5 million upon the achievement of specified research and development milestones, up to $60.0 million in certain additional fees related to target licensing and reservation and up to $1.2 billion upon the achievement of certain sales milestones. The Company also is eligible to receive mid-single digit to low tens percentage tiered royalties on annual net sales from any commercial products directed to the optioned collaboration targets, subject to certain reductions and excluding sales in the United States of any products for which the Company exercises its option to co-develop and co-promote, for which the parties share profits and losses evenly.</w:t>
      </w: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the Company’s exercise of its option to co-develop and co-promote such licensed product.</w:t>
      </w:r>
    </w:p>
    <w:p>
      <w:pPr>
        <w:spacing w:after="0" w:line="72"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The Company identified the following promises in the Gilead Agreement: (1) the research licenses, (2) the research services, including selection campaign research services for certain replacement targets, (3) the obligation to share information during the research term and (4) the participation in the joint research committee and joint steering committee. The Company determined that the research licenses, the obligation to share information and the participation in joint committees are not capable of being distinct from the research services due to the specialized nature of the research services to be provided by the Company, and, accordingly, the promises identified were combined as one single performance obligation. The Company also concluded that, at the inception of the Gilead Agreement, Gilead’s options to obtain an exclusive development, manufacturing and commercialization license for each collaboration target, to extend the five-year research term and to perform selection campaign research services for certain replacement targets do not represent material rights and are not considered performance obligations because they do not contain a significant and incremental discount. The Company concluded that Gilead’s target reservation right is not a performance obligation as it does not require any specific action from the Company and it is rather an exclusivity right and an attribute of other performance obligations in the Gilead Agreement, such as the research licenses.</w:t>
      </w:r>
    </w:p>
    <w:p>
      <w:pPr>
        <w:spacing w:after="0" w:line="78"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18"/>
          <w:szCs w:val="18"/>
          <w:color w:val="auto"/>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August 31, 2025. The Company re-evaluates the transaction price in each reporting period and as uncertain events are resolved or other changes in circumstances occur. The Company determined that the transaction price at the inception of the initial research term consisted of the upfront payment of $45.0 million and $3.0 million in additional fees. Upon the achievement of research milestones and additional fees related to target reservations, $47.0 million in variable consideration was added to the transaction price, and a cumulative effect was recorded as revenue in the period the transaction price increased. The transaction price is recognized as collaboration revenue using the cost-based input method over the estimated initial research term of five years, which represents the estimated timing of completion of the identified deliverables. Additionally, the Company considered the impact of Gilead terminating the Gilead Agreement prior to the completion of the research services during the five-year initial research term and determined that there were significant economic costs to Gilead for doing so, and as such, did not adjust the contract term. The initial research term ended in the third quarter of fiscal year 2024.</w:t>
      </w:r>
    </w:p>
    <w:p>
      <w:pPr>
        <w:spacing w:after="0" w:line="75"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The Gilead Research Term Extension, which has a term of two years and did not represent a material right at the inception of the Gilead Agreement because it does not contain a significant and incremental discount, is accounted for as a separate contract commencing in June 2024. The research term extension fee of $15.0 million is recognized as collaboration revenue using the cost-based input method over the estimated extended research term of two years, which represents the estimated timing of completion of the identified deliverables. As of August 31, 2025, no milestones have been achieved related to the extended research term.</w:t>
      </w:r>
    </w:p>
    <w:p>
      <w:pPr>
        <w:spacing w:after="0" w:line="8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Using the cost-based input method, which the Company determined most faithfully depicts the transfer of its performance obligation to Gilead, the Company recognizes revenue based on actual costs incurred as a percentage of total estimated costs as the Company completes its performance obligation under the contract. Costs consist primarily of internal full-time employee (FTE) and third-party contract costs related to the Gilead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74"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For the three and nine months ended August 31, 2025, the Company recognized collaboration revenue related to the Gilead Research Term Extension of $2.1 million and $5.5 million, respectively, all of which was included in deferred revenue as of the beginning of the period. For the three and nine months ended August 31, 2024, the Company recognized collaboration revenue related to the Gilead Research Term Extension of $1.9 million for both periods, all of which was related to the $15.0 million research term extension fee received in the second quarter of fiscal year 2024. For the three and nine months ended August 31, 2024, the Company recognized collaboration revenue related to the initial research term under the Gilead Agreement of $0.5 million and $10.0 million, respectively, all of which was included in deferred revenue as of the beginning of the period. As of August 31, 2025, deferred revenue related to the Gilead Agreement was $5.5 million, all of which was current. As of November 30, 2024, deferred revenue related to the Gilead Agreement was $11.0 million, of which $9.1 million was current.</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2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DEL-AI platform to identify small molecules designed to induce degradation of three specified initial drug targets. In January 2021, as part of the existing Sanofi Agreement, Sanofi paid the Company $22.0 million to exercise its option to expand the number of targets in the Sanofi Agreement from three to a total of five targets.</w:t>
      </w:r>
    </w:p>
    <w:p>
      <w:pPr>
        <w:spacing w:after="0" w:line="87"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In January 2021, the Company and Sanofi entered into the First Amendment to the Sanofi Agreement to modify the research term on all targets (the First Sanofi Amendment). In December 2021, the Company and Sanofi entered into the Second Amendment to the Sanofi Agreement to extend the substitution deadline on certain targets. In July 2022, the Company and Sanofi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the Company and Sanofi entered into the Fourth Amendment and Fifth Amendment, respectively, to the Sanofi Agreement to modify the research plan for certain targets, which had no impact on revenue recognition. In March 2024, the Company and Sanofi entered into the Sixth Amendment to the Sanofi Agreement to extend the research term for the collaboration target STAT6, a key drug target in type 2 inflammation, by two years (the Sixth Sanofi Amendment), which increased overall forecasted costs and had an impact on revenue recognition.</w:t>
      </w:r>
    </w:p>
    <w:p>
      <w:pPr>
        <w:spacing w:after="0" w:line="78"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Under the Sanofi Agreement, Sanofi has exclusive rights and is responsible for the clinical development, commercialization and manufacture of drug candidates resulting from the collaboration while the Company retains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The Company’s right to exercise its option to co-develop, co-promote and co-commercialize a given target is dependent on its ability to demonstrate, within a given timeframe, that it has sufficient cash resources and personnel to commercialize the product. The collaboration excludes the Company’s current internal protein degradation programs for which it retains all rights, and also excludes its future internal programs, provided that the Company distinguished future programs as excluded from the scope of the collaboration.</w:t>
      </w:r>
    </w:p>
    <w:p>
      <w:pPr>
        <w:spacing w:after="0" w:line="9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In March 2025, Sanofi exercised its right to exclusively license one target (the First Sanofi License Extension), the first development candidate resulting from the Sanofi Agreement. This right did not represent a material right at contract inception, since it was not offered for free or at a discount. Pursuant to the Sanofi Agreement, the Company received a license extension fee payment of $15.0 million in March 2025 for the First Sanofi License Extension. In May 2025, Sanofi exercised its right to exclusively license a second target (the Second Sanofi License Extension, and together with the First Sanofi License Extension, the Sanofi License Extensions), the second development candidate resulting from the Sanofi Agreement. This right also did not represent a material right at contract inception, since it was not offered for free or at a discount. Pursuant to the Sanofi Agreement, the Company received a license extension fee payment of $15.0 million in June 2025 for the Second Sanofi License Extension. The license to the functional intellectual property and all goods and services related to both the First Sanofi License Extension and the Second Sanofi License Extension were transferred during the second quarter of fiscal year 2025.</w:t>
      </w:r>
    </w:p>
    <w:p>
      <w:pPr>
        <w:spacing w:after="0" w:line="93"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For drug targets that are subject to the collaboration, the Company has primary responsibility for conducting preclinical research 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exercises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such optioned products.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18"/>
          <w:szCs w:val="18"/>
          <w:color w:val="auto"/>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In addition, from the signing of the Sanofi Agreement to August 31, 2025, the Company has received payments of $20.0 million for research milestones and $30.0 million for license extension fees. As of August 31, 2025, the Company is eligible to receive up to approximately $930.0 million in total additional payments, including payments of up to $180.0 million upon the achievement of specified research and development milestones, up to $250.0 million upon the achievement of specified regulatory milestones and up to $500.0 million upon the achievement of certain sales milestones. The Company is also eligible to receive mid-single digit to low teen percentage tiered royalties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spacing w:after="0" w:line="77" w:lineRule="exact"/>
        <w:rPr>
          <w:sz w:val="20"/>
          <w:szCs w:val="20"/>
          <w:color w:val="auto"/>
        </w:rPr>
      </w:pPr>
    </w:p>
    <w:p>
      <w:pPr>
        <w:ind w:right="340" w:firstLine="648"/>
        <w:spacing w:after="0" w:line="246"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spacing w:after="0" w:line="87" w:lineRule="exact"/>
        <w:rPr>
          <w:sz w:val="20"/>
          <w:szCs w:val="20"/>
          <w:color w:val="auto"/>
        </w:rPr>
      </w:pPr>
    </w:p>
    <w:p>
      <w:pPr>
        <w:ind w:right="120" w:firstLine="648"/>
        <w:spacing w:after="0" w:line="243" w:lineRule="auto"/>
        <w:rPr>
          <w:sz w:val="20"/>
          <w:szCs w:val="20"/>
          <w:color w:val="auto"/>
        </w:rPr>
      </w:pPr>
      <w:r>
        <w:rPr>
          <w:rFonts w:ascii="Times New Roman" w:cs="Times New Roman" w:eastAsia="Times New Roman" w:hAnsi="Times New Roman"/>
          <w:sz w:val="18"/>
          <w:szCs w:val="18"/>
          <w:color w:val="auto"/>
        </w:rPr>
        <w:t>The Company identified the following promises in the Sanofi Agreement: (1) the research licenses, (2) the research services, (3) the obligation to share information during the research term and (4) the participation of alliance managers in the joint research committee and joint patent committee. The Company determined that the research licenses, the obligation to share information and the participation in the joint committees are not capable of being distinct from the research services due to the specialized nature of the research services to be provided by the Company, and, accordingly, the promises identified were combined as one single performance obligation. The Company also determined that Sanofi’s exclusive right to add up to two additional targets constitutes a material right as it represents a significant and incremental discount that Sanofi would not have received without entering into the Sanofi Agreement. The option to extend the license term does not represent a material right because it does not contain a significant and incremental discount.</w:t>
      </w:r>
    </w:p>
    <w:p>
      <w:pPr>
        <w:spacing w:after="0" w:line="78"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August 31, 2025. The Company re-evaluates the transaction price in each reporting period and as uncertain events are resolved or other changes in circumstances occur. At the inception of the Sanofi Agreement, the Company determined that the transaction price consisted of the upfront payment of $55.0 million for three initial drug targets and $22.0 million for two additional targets. Subsequently, upon the achievement of research milestones, $20.0 million in variable consideration was added to the transaction price, and a cumulative effect was recorded as revenue in the period the transaction price increased. Revenue is recognized using the cost-based input method over the research term of 4.25 years, the revised research period that was agreed to in January 2021 in the First Sanofi Amendment for certain targets, and 5.25 years, the revised research period due to the target substitutions in July 2022, for certain other targets. The research period was extended as part of the Sixth Sanofi Amendment and a cumulative effect was recorded in the second quarter of fiscal year 2024. The initial research term ended in the second quarter of fiscal year 2025.</w:t>
      </w:r>
    </w:p>
    <w:p>
      <w:pPr>
        <w:spacing w:after="0" w:line="9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Using the cost-based input method, which the Company determined most faithfully depicts the transfer of its performance obligation to Sanofi, the Company recognizes revenue based on actual costs incurred as a percentage of total estimated costs as the Company completes its performance obligation under the contract. Costs consist primarily of internal FTE and third-party contract costs related to the Sanofi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73"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For the three and nine months ended August 31, 2025, the Company recognized collaboration revenue related to the Sanofi Agreement of zero and $16.1 million, respectively, of which zero and $9.1 million, respectively, were included in deferred revenue as of the beginning of the period, and zero and $6.4 million, respectively, were related to activities satisfied in previous periods. The Company also recognized $30.0 million in license revenue received pursuant to the Sanofi License Extensions during the nine months ended August 31, 2025. For the three and nine months ended August 31, 2024, the Company recognized collaboration revenue related to the Sanofi Agreement of $5.9 million and $16.2 million, respectively, of which $5.9 million and $14.7 million, respectively, were included in deferred revenue as of the beginning of the period, and zero and $1.2 million, respectively, were related to activities satisfied in previous periods. As of August 31, 2025, deferred revenue related to the Sanofi Agreement was zero. As of November 30, 2024, deferred revenue related to the Sanofi Agreement was $9.1 million, all of which was current.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121" w:lineRule="exact"/>
        <w:rPr>
          <w:sz w:val="20"/>
          <w:szCs w:val="20"/>
          <w:color w:val="auto"/>
        </w:rPr>
      </w:pPr>
    </w:p>
    <w:p>
      <w:pPr>
        <w:ind w:right="400" w:firstLine="648"/>
        <w:spacing w:after="0" w:line="250" w:lineRule="auto"/>
        <w:rPr>
          <w:sz w:val="20"/>
          <w:szCs w:val="20"/>
          <w:color w:val="auto"/>
        </w:rPr>
      </w:pPr>
      <w:r>
        <w:rPr>
          <w:rFonts w:ascii="Times New Roman" w:cs="Times New Roman" w:eastAsia="Times New Roman" w:hAnsi="Times New Roman"/>
          <w:sz w:val="18"/>
          <w:szCs w:val="18"/>
          <w:color w:val="auto"/>
        </w:rPr>
        <w:t>In September 2023, the Company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degrader antibody conjugates (DACs), a new class of medicines for use in cancer treatment, and advancing these DAC drug candidates through preclinical and clinical development and commercialization.</w:t>
      </w:r>
    </w:p>
    <w:p>
      <w:pPr>
        <w:spacing w:after="0" w:line="69" w:lineRule="exact"/>
        <w:rPr>
          <w:sz w:val="20"/>
          <w:szCs w:val="20"/>
          <w:color w:val="auto"/>
        </w:rPr>
      </w:pPr>
    </w:p>
    <w:p>
      <w:pPr>
        <w:jc w:val="both"/>
        <w:ind w:right="540" w:firstLine="648"/>
        <w:spacing w:after="0" w:line="250" w:lineRule="auto"/>
        <w:rPr>
          <w:sz w:val="20"/>
          <w:szCs w:val="20"/>
          <w:color w:val="auto"/>
        </w:rPr>
      </w:pPr>
      <w:r>
        <w:rPr>
          <w:rFonts w:ascii="Times New Roman" w:cs="Times New Roman" w:eastAsia="Times New Roman" w:hAnsi="Times New Roman"/>
          <w:sz w:val="18"/>
          <w:szCs w:val="18"/>
          <w:color w:val="auto"/>
        </w:rPr>
        <w:t>Under the Pfizer Agreement, Pfizer has the option to obtain exclusive licenses to develop and commercialize certain degraders, while the Company retains an option for U.S. profit sharing and co-promotion on two products arising from the collaboration.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spacing w:after="0" w:line="83"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For the targets nominated by Pfizer under the collaboration, the Company shall use commercially reasonable efforts to identify, synthesize, characterize and deliver targeted protein degraders that selectively bind to and degrade such targets. Development of licensed degraders, with the exception of licensed products for which the Company exercises its profit-share options, will be at Pfizer’s sole cost and expense. For the profit-share products, the parties will share net profits and net losses and global development costs, and the Company will be eligible to receive royalty and milestone payments on such optioned products.</w:t>
      </w:r>
    </w:p>
    <w:p>
      <w:pPr>
        <w:spacing w:after="0" w:line="73"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Under the terms of the Pfizer Agreement, the Company received an upfront payment of $60.0 million. In addition, from the signing of the Pfizer Agreement to August 31, 2025, the Company has received payments of $10.0 million for research milestones. As of August 31, 2025, the Company is eligible to receive up to approximately $3.4 billion in contingent payments across multiple programs, including payments of up to $626.0 million upon the achievement of specified research and development milestones, up to $19.5 million in certain additional fees related to target licensing and reservation, up to $873.0 million upon the achievement of specified regulatory milestones and up to $1.8 billion upon the achievement of certain sales milestones. The Company is also eligible for mid-single to low double digit percentage tiered royalties on future sales.</w:t>
      </w:r>
    </w:p>
    <w:p>
      <w:pPr>
        <w:spacing w:after="0" w:line="72"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spacing w:after="0" w:line="61"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The Company identified the following promises in the Pfizer Agreement: (1) the research licenses, (2) the research services, (3) the participation of a gatekeeper and an alliance managers and the participation in various joint committees, and (4) the obligation to share information during the research term. The Company determined that the research licenses, the participation in the joint committees and the obligation to share information are not capable of being distinct from the research services, and, accordingly, the identified promises were combined as one single performance obligation. The Company also determined that, at the inception of the Pfizer Agreement, Pfizer’s options to obtain an exclusive development, manufacturing and commercialization license for each collaboration target and to extend the four-year research term do not represent material rights and are not considered performance obligations because they do not contain a significant and incremental discount. Additionally, Pfizer’s target reservation right is not a performance obligation as it is an exclusivity right and an attribute of other performance obligations in the Pfizer Agreement, such as the research licenses, and does not require any specific actions from the Company.</w:t>
      </w:r>
    </w:p>
    <w:p>
      <w:pPr>
        <w:spacing w:after="0" w:line="77"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In order to determine the transaction price, the Company evaluated all the payments to be received during the duration of the contract. Milestone payments and additional fees were considered variable consideration, which were not included in the transaction price based on the most likely amount method as of August 31, 2025. The Company re-evaluates the transaction price in each reporting period and as uncertain events are resolved or other changes in circumstances occur. The Company determined that the transaction price at the inception of the Pfizer Agreement consisted of the upfront payment of $60.0 million. Subsequently, upon achievement of research milestones, $10.0 million in variable consideration was added to the transaction price and a cumulative effect was recorded as revenue in the period the transaction price increased. The transaction price is recognized as collaboration revenue using the cost-based input method over the estimated research term of four years, not to extend beyond six years, which represents the estimated period to complete the identified deliverables. Additionally, the Company considered the impact of Pfizer terminating the Pfizer Agreement prior to the completion of the research services during the initial four-year research term and determined that there were significant economic costs to Pfizer for doing so, and as such, did not adjust the contract term.</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Using the cost-based input method, which the Company determined most faithfully depicts the transfer of its performance obligation to Pfizer, the Company recognizes revenue based on actual costs incurred as a percentage of total estimated costs as the Company completes its performance obligation under the contract. Costs consist primarily of internal FTE and third-party contract costs related to the Pfizer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 the three and nine months ended August 31, 2025, the Company recognized collaboration revenue related to the Pfizer Agreement of</w:t>
      </w:r>
    </w:p>
    <w:p>
      <w:pPr>
        <w:spacing w:after="0" w:line="16"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$5.8 million and $13.8 million, respectively, all of which was included in deferred revenue as of the beginning of the period. For the three and nine months ended August 31, 2024, the Company recognized collaboration revenue related to the Pfizer Agreement of $4.2 million and $13.1 million, respectively, of which $4.2 million and $12.3 million, respectively, were included in deferred revenue as of the beginning of the period, and zero and $0.1 million, respectively, were related to activities satisfied in previous periods. As of August 31, 2025, deferred revenue related to the Pfizer Agreement was</w:t>
      </w:r>
    </w:p>
    <w:p>
      <w:pPr>
        <w:spacing w:after="0" w:line="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$35.7 million, of which $20.5 million was current. As of November 30, 2024, deferred revenue related to the Pfizer Agreement was $44.5 million, of which $20.0 million was current, and included $5.0 million in contract assets representing the unbilled amount related to the research milestone achieved in November 2024.</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Condensed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240" w:type="dxa"/>
            <w:vAlign w:val="bottom"/>
          </w:tcPr>
          <w:p>
            <w:pPr>
              <w:spacing w:after="0"/>
              <w:rPr>
                <w:sz w:val="14"/>
                <w:szCs w:val="14"/>
                <w:color w:val="auto"/>
              </w:rPr>
            </w:pPr>
          </w:p>
        </w:tc>
        <w:tc>
          <w:tcPr>
            <w:tcW w:w="13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9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in progress</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9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240" w:type="dxa"/>
            <w:vAlign w:val="bottom"/>
          </w:tcPr>
          <w:p>
            <w:pPr>
              <w:spacing w:after="0"/>
              <w:rPr>
                <w:sz w:val="16"/>
                <w:szCs w:val="16"/>
                <w:color w:val="auto"/>
              </w:rPr>
            </w:pPr>
          </w:p>
        </w:tc>
        <w:tc>
          <w:tcPr>
            <w:tcW w:w="13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9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contract research and lab supplies</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clinical</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right="440" w:firstLine="648"/>
        <w:spacing w:after="0" w:line="250" w:lineRule="auto"/>
        <w:rPr>
          <w:sz w:val="20"/>
          <w:szCs w:val="20"/>
          <w:color w:val="auto"/>
        </w:rPr>
      </w:pPr>
      <w:r>
        <w:rPr>
          <w:rFonts w:ascii="Times New Roman" w:cs="Times New Roman" w:eastAsia="Times New Roman" w:hAnsi="Times New Roman"/>
          <w:sz w:val="18"/>
          <w:szCs w:val="18"/>
          <w:color w:val="auto"/>
        </w:rPr>
        <w:t>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Level 1—Inputs that reflect unadjusted quoted prices in active markets for identical assets or liabilities that the Company has the ability to access at the measurement date;</w:t>
      </w:r>
    </w:p>
    <w:p>
      <w:pPr>
        <w:spacing w:after="0" w:line="6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Level 2—Inputs other than quoted prices included within Level 1 that are observable for the asset or liability either directly or indirectly, including inputs in markets that are not considered to be active; and</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3—Inputs that are unobservable.</w:t>
      </w:r>
    </w:p>
    <w:p>
      <w:pPr>
        <w:spacing w:after="0" w:line="117" w:lineRule="exact"/>
        <w:rPr>
          <w:sz w:val="20"/>
          <w:szCs w:val="20"/>
          <w:color w:val="auto"/>
        </w:rPr>
      </w:pPr>
    </w:p>
    <w:p>
      <w:pPr>
        <w:jc w:val="both"/>
        <w:ind w:right="380" w:firstLine="648"/>
        <w:spacing w:after="0" w:line="250"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82"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18"/>
          <w:szCs w:val="18"/>
          <w:color w:val="auto"/>
        </w:rPr>
        <w:t>The following tables present the Company’s investments, which consist of cash equivalents and available-for-sale marketable securities, that are measured at fair value on a recurring basis as of August 31, 2025 and November 30, 2024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5"/>
                <w:szCs w:val="15"/>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31, 2025</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4"/>
        </w:trPr>
        <w:tc>
          <w:tcPr>
            <w:tcW w:w="4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75,240</w:t>
            </w:r>
          </w:p>
        </w:tc>
      </w:tr>
      <w:tr>
        <w:trPr>
          <w:trHeight w:val="243"/>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337,418</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w:t>
            </w:r>
          </w:p>
        </w:tc>
      </w:tr>
      <w:tr>
        <w:trPr>
          <w:trHeight w:val="26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422,538</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422,657</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72,266</w:t>
            </w:r>
          </w:p>
        </w:tc>
      </w:tr>
      <w:tr>
        <w:trPr>
          <w:trHeight w:val="24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Included in marketable securities, current</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350,272</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350,391</w:t>
            </w:r>
          </w:p>
        </w:tc>
      </w:tr>
      <w:tr>
        <w:trPr>
          <w:trHeight w:val="326"/>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24"/>
                <w:szCs w:val="24"/>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4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90,380</w:t>
            </w:r>
          </w:p>
        </w:tc>
      </w:tr>
      <w:tr>
        <w:trPr>
          <w:trHeight w:val="243"/>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470,607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470,740</w:t>
            </w:r>
          </w:p>
        </w:tc>
      </w:tr>
      <w:tr>
        <w:trPr>
          <w:trHeight w:val="27"/>
        </w:trPr>
        <w:tc>
          <w:tcPr>
            <w:tcW w:w="452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28,829</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28,846</w:t>
            </w:r>
          </w:p>
        </w:tc>
      </w:tr>
      <w:tr>
        <w:trPr>
          <w:trHeight w:val="26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589,816</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589,966</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90,380</w:t>
            </w:r>
          </w:p>
        </w:tc>
      </w:tr>
      <w:tr>
        <w:trPr>
          <w:trHeight w:val="24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Included in marketable securities, current</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499,436</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499,586</w:t>
            </w:r>
          </w:p>
        </w:tc>
      </w:tr>
    </w:tbl>
    <w:p>
      <w:pPr>
        <w:spacing w:after="0" w:line="211"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 following tables summarize the available-for-sale marketable securities in an unrealized loss position for which an allowance for credit losses has not been recorded as of August 31, 2025 and November 30, 2024, aggregated by investment category and length of time in a continuous unrealized loss position (in thousands):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24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940" w:type="dxa"/>
            <w:vAlign w:val="bottom"/>
          </w:tcPr>
          <w:p>
            <w:pPr>
              <w:spacing w:after="0"/>
              <w:rPr>
                <w:sz w:val="16"/>
                <w:szCs w:val="16"/>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9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58"/>
        </w:trPr>
        <w:tc>
          <w:tcPr>
            <w:tcW w:w="3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80" w:type="dxa"/>
            <w:vAlign w:val="bottom"/>
          </w:tcPr>
          <w:p>
            <w:pPr>
              <w:spacing w:after="0"/>
              <w:rPr>
                <w:sz w:val="13"/>
                <w:szCs w:val="13"/>
                <w:color w:val="auto"/>
              </w:rPr>
            </w:pPr>
          </w:p>
        </w:tc>
        <w:tc>
          <w:tcPr>
            <w:tcW w:w="13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940" w:type="dxa"/>
            <w:vAlign w:val="bottom"/>
          </w:tcPr>
          <w:p>
            <w:pPr>
              <w:spacing w:after="0"/>
              <w:rPr>
                <w:sz w:val="13"/>
                <w:szCs w:val="13"/>
                <w:color w:val="auto"/>
              </w:rPr>
            </w:pPr>
          </w:p>
        </w:tc>
        <w:tc>
          <w:tcPr>
            <w:tcW w:w="1420" w:type="dxa"/>
            <w:vAlign w:val="bottom"/>
          </w:tcPr>
          <w:p>
            <w:pPr>
              <w:jc w:val="center"/>
              <w:ind w:left="208"/>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r>
      <w:tr>
        <w:trPr>
          <w:trHeight w:val="204"/>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August 31, 2025</w:t>
            </w:r>
          </w:p>
        </w:tc>
        <w:tc>
          <w:tcPr>
            <w:tcW w:w="10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Loss</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84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20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47,008</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gridSpan w:val="2"/>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780" w:type="dxa"/>
            <w:vAlign w:val="bottom"/>
            <w:tcBorders>
              <w:top w:val="single" w:sz="8" w:color="auto"/>
              <w:bottom w:val="single" w:sz="8" w:color="CCEEFF"/>
            </w:tcBorders>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20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47,008</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2"/>
                <w:szCs w:val="22"/>
                <w:color w:val="auto"/>
              </w:rPr>
            </w:pPr>
          </w:p>
        </w:tc>
      </w:tr>
      <w:tr>
        <w:trPr>
          <w:trHeight w:val="243"/>
        </w:trPr>
        <w:tc>
          <w:tcPr>
            <w:tcW w:w="3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3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47,008</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gridSpan w:val="2"/>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51,006</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4"/>
                <w:szCs w:val="24"/>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3"/>
        </w:trPr>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5"/>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
        </w:trPr>
        <w:tc>
          <w:tcPr>
            <w:tcW w:w="3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r>
      <w:tr>
        <w:trPr>
          <w:trHeight w:val="171"/>
        </w:trPr>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Gross Unrealized</w:t>
            </w:r>
          </w:p>
        </w:tc>
      </w:tr>
      <w:tr>
        <w:trPr>
          <w:trHeight w:val="190"/>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r>
      <w:tr>
        <w:trPr>
          <w:trHeight w:val="37"/>
        </w:trPr>
        <w:tc>
          <w:tcPr>
            <w:tcW w:w="38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r>
      <w:tr>
        <w:trPr>
          <w:trHeight w:val="243"/>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166,161</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(138)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166,161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3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386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r>
      <w:tr>
        <w:trPr>
          <w:trHeight w:val="283"/>
        </w:trPr>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166,161</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(138)</w:t>
            </w:r>
          </w:p>
        </w:tc>
        <w:tc>
          <w:tcPr>
            <w:tcW w:w="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170,142</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The accrued interest receivable related to the Company’s marketable securities was $1.7 million and $1.5 million as of August 31, 2025 and November 30, 2024, respectively, and was included in prepaid expenses and other current assets on the condensed balance sheet.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classifies its money market funds and U.S. treasury securities, which are valued based on quoted market prices in active markets with no valuation adjustment, as Level 1 assets within the fair value hierarchy.</w:t>
      </w:r>
    </w:p>
    <w:p>
      <w:pPr>
        <w:spacing w:after="0" w:line="68" w:lineRule="exact"/>
        <w:rPr>
          <w:sz w:val="20"/>
          <w:szCs w:val="20"/>
          <w:color w:val="auto"/>
        </w:rPr>
      </w:pPr>
    </w:p>
    <w:p>
      <w:pPr>
        <w:jc w:val="both"/>
        <w:ind w:right="220" w:firstLine="648"/>
        <w:spacing w:after="0" w:line="244" w:lineRule="auto"/>
        <w:rPr>
          <w:sz w:val="20"/>
          <w:szCs w:val="20"/>
          <w:color w:val="auto"/>
        </w:rPr>
      </w:pPr>
      <w:r>
        <w:rPr>
          <w:rFonts w:ascii="Times New Roman" w:cs="Times New Roman" w:eastAsia="Times New Roman" w:hAnsi="Times New Roman"/>
          <w:sz w:val="18"/>
          <w:szCs w:val="18"/>
          <w:color w:val="auto"/>
        </w:rPr>
        <w:t>The Company classifies its marketable securities in corporate debt securities and U.S. government agency securities as Level 2 assets within the fair value hierarchy. The fair values of these marketable securities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three and nine months ended August 31, 2025 and 2024.</w:t>
      </w:r>
    </w:p>
    <w:p>
      <w:pPr>
        <w:spacing w:after="0" w:line="87"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As of August 31, 2025 and November 30, 2024, the unrealized losses for available-for-sale securities were non-credit related, and the Company does not intend to sell the securities that were in an unrealized loss position, nor will it be required to sell those securities before recovery of their amortized cost basis, which may be maturity. As of August 31, 2025, and November 30, 2024, no allowance for credit losses for the Company’s marketable securities was recorded. During the three and nine months ended August 31, 2025 and 2024, the Company did not recognize any impairment losses related to marketable securities.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August 31, 2025, the Company was not a party to any material legal proceedings.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condensed financial statements.</w:t>
      </w:r>
    </w:p>
    <w:p>
      <w:pPr>
        <w:spacing w:after="0" w:line="73" w:lineRule="exact"/>
        <w:rPr>
          <w:sz w:val="20"/>
          <w:szCs w:val="20"/>
          <w:color w:val="auto"/>
        </w:rPr>
      </w:pPr>
    </w:p>
    <w:p>
      <w:pPr>
        <w:ind w:right="380" w:firstLine="648"/>
        <w:spacing w:after="0" w:line="247" w:lineRule="auto"/>
        <w:rPr>
          <w:sz w:val="20"/>
          <w:szCs w:val="20"/>
          <w:color w:val="auto"/>
        </w:rPr>
      </w:pPr>
      <w:r>
        <w:rPr>
          <w:rFonts w:ascii="Times New Roman" w:cs="Times New Roman" w:eastAsia="Times New Roman" w:hAnsi="Times New Roman"/>
          <w:sz w:val="18"/>
          <w:szCs w:val="18"/>
          <w:color w:val="auto"/>
        </w:rPr>
        <w:t>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Company leases office and laboratory facilities totaling approximately 57,902 square feet within the same building in San Francisco, California under several lease agreements. These lease agreements were originally scheduled to expire in April 2025. In September 2024, the Company entered into an amendment to extend the lease term through October 2025. The minimum rent payable by the Company pursuant to the lease amendment is approximately $0.4 million per month. The lease amendment did not have a material impact on the Company’s condensed financial statements.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In July 2021, the Company entered into a lease agreement for the lease of approximately 19,320 square feet of office space in a different building in San Francisco, California (the Mission Bay Lease). The lease commenced in December 2021 and was scheduled to expire in June 2024. In March 2024, the Company entered into a second amendment (the Second Amendment) to the Mission Bay Lease, pursuant to which the lease term was extended through April 2025. The minimum rent payable by the Company under the Second Amendment is approximately $0.1 million per month. In September 2024, the Mission Bay Lease was further amended (the Third Amendment) to extend the lease term through October 2025, and the minimum rent payable by the Company under the Third Amendment is approximately $0.1 million per month. The lease amendments did not have a material impact on the Company's condensed financial statements.</w:t>
      </w:r>
    </w:p>
    <w:p>
      <w:pPr>
        <w:spacing w:after="0" w:line="7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In March 2022, the Company entered into a lease agreement for the lease of approximately 46,434 square feet of office space in The Woodlands, Texas. In August 2023, the lease agreement was amended to increase the square footage of the leased premise to 50,094 square feet. The amendment had no impact on the accounting for the lease. The Company has an option to renew for two additional terms of five years each, and the renewal terms have not been included in the lease term used to calculate the ROU asset and lease liability as it is not reasonably certain that the Company will exercise the option. The lease commenced in September 2023 when the underlying assets became available for use and will expire in March 2035.</w:t>
      </w:r>
    </w:p>
    <w:p>
      <w:pPr>
        <w:spacing w:after="0" w:line="69" w:lineRule="exact"/>
        <w:rPr>
          <w:sz w:val="20"/>
          <w:szCs w:val="20"/>
          <w:color w:val="auto"/>
        </w:rPr>
      </w:pPr>
    </w:p>
    <w:p>
      <w:pPr>
        <w:ind w:right="140" w:firstLine="648"/>
        <w:spacing w:after="0" w:line="247" w:lineRule="auto"/>
        <w:rPr>
          <w:sz w:val="20"/>
          <w:szCs w:val="20"/>
          <w:color w:val="auto"/>
        </w:rPr>
      </w:pPr>
      <w:r>
        <w:rPr>
          <w:rFonts w:ascii="Times New Roman" w:cs="Times New Roman" w:eastAsia="Times New Roman" w:hAnsi="Times New Roman"/>
          <w:sz w:val="18"/>
          <w:szCs w:val="18"/>
          <w:color w:val="auto"/>
        </w:rPr>
        <w:t>In February 2025, the Company entered into a lease agreement (the Brisbane Lease) with Janssen Research &amp; Development, LLC (Janssen) and HCP LS Brisbane, LLC to sublease from Janssen approximately 159,959 square feet of office space located at 1600 Sierra Point Parkway, Brisbane, California for a research and development laboratory and office space. The lease commenced in March 2025 when the underlying assets became available for use and the Company recorded a $26.7 million ROU asset and lease liability on the condensed balance sheet. A security deposit of $2.4 million was also recorded in other assets, non-current on the condensed balance sheet. In addition, the sublandlord provided for a tenant improvement allowance of approximately $8.0 million, which is expected to be fully utilized.</w:t>
      </w:r>
    </w:p>
    <w:p>
      <w:pPr>
        <w:spacing w:after="0" w:line="72"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In May 2025, the Company entered into an amendment to the Brisbane Lease to include an additional 35,929 square feet of office space located at 1400 Sierra Point Parkway, Brisbane, California. The lease commenced in June 2025 when the underlying assets became available for use and the Company recorded a $5.8 million ROU asset and lease liability on the condensed balance sheet. A security deposit of $0.5 million was also recorded in other assets, non-current on the condensed balance sheet. The Brisbane Lease, as amended, will expire on September 30, 2031, unless terminated earlier. Future minimum lease payments under the Brisbane Lease, as amended, total $52.3 million, which does not include the payment of additional rent to cover the Company’s share of annual operating and tax expenses and utilities costs for the building.</w:t>
      </w:r>
    </w:p>
    <w:p>
      <w:pPr>
        <w:spacing w:after="0" w:line="7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Company is required to pay base rent plus its proportionate share of operating expenses, as defined in the applicable lease agreement on all of its leases. Variable lease payments related to operating expenses, including utilities, maintenance costs and real estate taxes, were $1.8 million and</w:t>
      </w:r>
    </w:p>
    <w:p>
      <w:pPr>
        <w:ind w:right="400"/>
        <w:spacing w:after="0" w:line="245" w:lineRule="auto"/>
        <w:rPr>
          <w:sz w:val="20"/>
          <w:szCs w:val="20"/>
          <w:color w:val="auto"/>
        </w:rPr>
      </w:pPr>
      <w:r>
        <w:rPr>
          <w:rFonts w:ascii="Times New Roman" w:cs="Times New Roman" w:eastAsia="Times New Roman" w:hAnsi="Times New Roman"/>
          <w:sz w:val="18"/>
          <w:szCs w:val="18"/>
          <w:color w:val="auto"/>
        </w:rPr>
        <w:t>$5.0 million for the three and nine months ended August 31, 2025, respectively, and $1.8 million and $5.2 million for the three and nine months ended August 31, 2024, respectively.</w:t>
      </w:r>
    </w:p>
    <w:p>
      <w:pPr>
        <w:spacing w:after="0" w:line="72"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Operating lease expenses, excluding variable lease payments, were $3.9 million and $9.8 million for the three and nine months ended August 31, 2025, respectively, and $2.2 million and $6.8 million for the three and nine months ended August 31, 2024, respectively. Short-term lease expense was not material for the periods presented.</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related to leases were as follows (in thousands):</w:t>
      </w:r>
    </w:p>
    <w:p>
      <w:pPr>
        <w:spacing w:after="0" w:line="57"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Nine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41910</wp:posOffset>
            </wp:positionV>
            <wp:extent cx="20491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62" w:lineRule="exact"/>
        <w:rPr>
          <w:sz w:val="20"/>
          <w:szCs w:val="20"/>
          <w:color w:val="auto"/>
        </w:rPr>
      </w:pPr>
    </w:p>
    <w:p>
      <w:pPr>
        <w:ind w:left="8620"/>
        <w:spacing w:after="0"/>
        <w:tabs>
          <w:tab w:leader="none" w:pos="102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41910</wp:posOffset>
            </wp:positionV>
            <wp:extent cx="709803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63" w:lineRule="exact"/>
        <w:rPr>
          <w:sz w:val="20"/>
          <w:szCs w:val="20"/>
          <w:color w:val="auto"/>
        </w:rPr>
      </w:pPr>
    </w:p>
    <w:p>
      <w:pPr>
        <w:ind w:left="220"/>
        <w:spacing w:after="0"/>
        <w:tabs>
          <w:tab w:leader="none" w:pos="7980" w:val="left"/>
          <w:tab w:leader="none" w:pos="9060" w:val="left"/>
          <w:tab w:leader="none" w:pos="9640" w:val="left"/>
          <w:tab w:leader="none" w:pos="10720" w:val="left"/>
        </w:tabs>
        <w:rPr>
          <w:sz w:val="20"/>
          <w:szCs w:val="20"/>
          <w:color w:val="auto"/>
        </w:rPr>
      </w:pPr>
      <w:r>
        <w:rPr>
          <w:rFonts w:ascii="Times New Roman" w:cs="Times New Roman" w:eastAsia="Times New Roman" w:hAnsi="Times New Roman"/>
          <w:sz w:val="18"/>
          <w:szCs w:val="18"/>
          <w:color w:val="auto"/>
        </w:rPr>
        <w:t>Cash flows from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6,534</w:t>
        <w:tab/>
        <w:t>$</w:t>
      </w:r>
      <w:r>
        <w:rPr>
          <w:sz w:val="20"/>
          <w:szCs w:val="20"/>
          <w:color w:val="auto"/>
        </w:rPr>
        <w:tab/>
      </w:r>
      <w:r>
        <w:rPr>
          <w:rFonts w:ascii="Times New Roman" w:cs="Times New Roman" w:eastAsia="Times New Roman" w:hAnsi="Times New Roman"/>
          <w:sz w:val="17"/>
          <w:szCs w:val="17"/>
          <w:color w:val="auto"/>
        </w:rPr>
        <w:t>6,177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34290</wp:posOffset>
            </wp:positionV>
            <wp:extent cx="2049145"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49145" cy="342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Company’s Restated Certificate of Incorporation authorizes the Company to issue up to 500,000,000 shares of common stock, $0.001 par value per share, as of August 31, 2025 and November 30, 2024. Holders of common stock are entitled to dividends when and if declared by the Company’s board of directors, subject to the prior rights of the holders of shares of preferred stock. The holder of each share of common stock is entitled to one vote. As of August 31, 2025, no dividends have been declared.</w:t>
      </w:r>
    </w:p>
    <w:p>
      <w:pPr>
        <w:spacing w:after="0" w:line="6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July 2022, the Company issued the 2022 Pre-Funded Warrants to purchase an aggregate of 6,814,920 shares of the Company’s common stock at a price of $13.939 per pre-funded warrant. As of August 31, 2025, a total of 6,097,560 of the 2022 Pre-Funded Warrants remained available for exercise.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40" w:firstLine="648"/>
        <w:spacing w:after="0" w:line="296" w:lineRule="auto"/>
        <w:rPr>
          <w:sz w:val="20"/>
          <w:szCs w:val="20"/>
          <w:color w:val="auto"/>
        </w:rPr>
      </w:pPr>
      <w:r>
        <w:rPr>
          <w:rFonts w:ascii="Times New Roman" w:cs="Times New Roman" w:eastAsia="Times New Roman" w:hAnsi="Times New Roman"/>
          <w:sz w:val="17"/>
          <w:szCs w:val="17"/>
          <w:color w:val="auto"/>
        </w:rPr>
        <w:t>In April 2024, the Company issued the 2024 Pre-Funded Warrants to purchase an aggregate of 1,500,100 shares of the Company’s common stock at a price of $14.999 per pre-funded warrant. As of August 31, 2025, a total of 1,480,349 of the 2024 Pre-Funded Warrants remained available for exercise.</w:t>
      </w:r>
    </w:p>
    <w:p>
      <w:pPr>
        <w:spacing w:after="0" w:line="44"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All pre-funded warrants were immediately exercisable at issuance, have an exercise price of $0.001 and may be exercised at any time after the date of issuance. A holder of pre-funded warrants may not exercise the warrant if the holder, together with its affiliates, would beneficially own more than 9.99% of the number of shares of the Company’s common stock outstanding immediately after giving effect to such exercise. A holder of the pre-funded warrants may increase or decrease this percentage not in excess of 19.99% by providing at least 61 days’ prior notice to the Company.</w:t>
      </w:r>
    </w:p>
    <w:p>
      <w:pPr>
        <w:spacing w:after="0" w:line="69" w:lineRule="exact"/>
        <w:rPr>
          <w:sz w:val="20"/>
          <w:szCs w:val="20"/>
          <w:color w:val="auto"/>
        </w:rPr>
      </w:pPr>
    </w:p>
    <w:p>
      <w:pPr>
        <w:ind w:right="160" w:firstLine="648"/>
        <w:spacing w:after="0" w:line="264" w:lineRule="auto"/>
        <w:rPr>
          <w:sz w:val="20"/>
          <w:szCs w:val="20"/>
          <w:color w:val="auto"/>
        </w:rPr>
      </w:pPr>
      <w:r>
        <w:rPr>
          <w:rFonts w:ascii="Times New Roman" w:cs="Times New Roman" w:eastAsia="Times New Roman" w:hAnsi="Times New Roman"/>
          <w:sz w:val="17"/>
          <w:szCs w:val="17"/>
          <w:color w:val="auto"/>
        </w:rPr>
        <w:t>The pre-funded warrants were classified as a component of permanent equity in the Company’s condensed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basic and diluted, attributable to common stockholders because the shares may be issued for little or no consideration, are fully vested and are exercisable after the original issuance date of the pre-funded warrants.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reserved for future issuance, on an as-if converted basis consists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16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90"/>
        </w:trPr>
        <w:tc>
          <w:tcPr>
            <w:tcW w:w="7940" w:type="dxa"/>
            <w:vAlign w:val="bottom"/>
          </w:tcPr>
          <w:p>
            <w:pPr>
              <w:spacing w:after="0"/>
              <w:rPr>
                <w:sz w:val="16"/>
                <w:szCs w:val="16"/>
                <w:color w:val="auto"/>
              </w:rPr>
            </w:pPr>
          </w:p>
        </w:tc>
        <w:tc>
          <w:tcPr>
            <w:tcW w:w="15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4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issued and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11,694,499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9,839,454</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2,685,470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1,956,015</w:t>
            </w:r>
          </w:p>
        </w:tc>
      </w:tr>
      <w:tr>
        <w:trPr>
          <w:trHeight w:val="27"/>
        </w:trPr>
        <w:tc>
          <w:tcPr>
            <w:tcW w:w="7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future equity grants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2,833,616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3,192,811</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employee stock purchase plan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2,307,250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1,740,988</w:t>
            </w:r>
          </w:p>
        </w:tc>
      </w:tr>
      <w:tr>
        <w:trPr>
          <w:trHeight w:val="27"/>
        </w:trPr>
        <w:tc>
          <w:tcPr>
            <w:tcW w:w="7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Pre-funded warrants issued and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7,577,909</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7,577,909</w:t>
            </w: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27,098,744</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24,307,177</w:t>
            </w:r>
          </w:p>
        </w:tc>
      </w:tr>
      <w:tr>
        <w:trPr>
          <w:trHeight w:val="21"/>
        </w:trPr>
        <w:tc>
          <w:tcPr>
            <w:tcW w:w="79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 Company’s 2020 Equity Incentive Plan (the 2020 Plan) serves as the successor to the Company’s 2012 Equity Incentive Plan (together with the 2020 Plan, the Stock Plans) and provides for the granting of stock options, stock appreciation rights, restricted stock awards, restricted stock units (RSUs), performance awards and stock bonus awards to employees, directors, consultants, independent contractors and advisors of the Company. As of August 31, 2025, the Company had 990,016 shares of common stock available for grant under the Stock Plans.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Inducement Plan</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October 2024, the Board adopted and approved the Company’s 2024 Equity Inducement Plan (the 2024 Inducement Plan), which became effective on October 23, 2024. In accordance with Rule 5635(c)(4) of the Nasdaq listing rules, equity awards under the 2024 Inducement Plan may only be made to an employee if he or she is granted such awards in connection with the commencement of his or her employment with the Company and such grant is a material inducement to his or her entering into employment with the Company.</w:t>
      </w:r>
    </w:p>
    <w:p>
      <w:pPr>
        <w:spacing w:after="0" w:line="6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Company has reserved 3,000,000 shares of common stock for issuance pursuant to non-qualified stock options and RSUs under the 2024 Inducement Plan. As of August 31, 2025, the Company had 1,843,600 shares of common stock available for grant under the 2024 Inducement Plan.</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 activity under the Stock Plans and the 2024 Inducement Plan is set forth below:</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7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75"/>
        </w:trPr>
        <w:tc>
          <w:tcPr>
            <w:tcW w:w="79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8"/>
              </w:rPr>
              <w:t>average</w:t>
            </w:r>
          </w:p>
        </w:tc>
      </w:tr>
      <w:tr>
        <w:trPr>
          <w:trHeight w:val="175"/>
        </w:trPr>
        <w:tc>
          <w:tcPr>
            <w:tcW w:w="79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190"/>
        </w:trPr>
        <w:tc>
          <w:tcPr>
            <w:tcW w:w="79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8"/>
              </w:rPr>
              <w:t>price</w:t>
            </w:r>
          </w:p>
        </w:tc>
      </w:tr>
      <w:tr>
        <w:trPr>
          <w:trHeight w:val="23"/>
        </w:trPr>
        <w:tc>
          <w:tcPr>
            <w:tcW w:w="7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November 30, 2024</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9,839,454</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2,147,025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7"/>
        </w:trPr>
        <w:tc>
          <w:tcPr>
            <w:tcW w:w="7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r>
      <w:tr>
        <w:trPr>
          <w:trHeight w:val="27"/>
        </w:trPr>
        <w:tc>
          <w:tcPr>
            <w:tcW w:w="7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89"/>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August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11,694,499</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RSU activity under the Stock Plans and 2024 Inducement Plan is set forth below:</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90"/>
        </w:trPr>
        <w:tc>
          <w:tcPr>
            <w:tcW w:w="7940" w:type="dxa"/>
            <w:vAlign w:val="bottom"/>
          </w:tcPr>
          <w:p>
            <w:pPr>
              <w:spacing w:after="0"/>
              <w:rPr>
                <w:sz w:val="16"/>
                <w:szCs w:val="16"/>
                <w:color w:val="auto"/>
              </w:rPr>
            </w:pPr>
          </w:p>
        </w:tc>
        <w:tc>
          <w:tcPr>
            <w:tcW w:w="15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37"/>
        </w:trPr>
        <w:tc>
          <w:tcPr>
            <w:tcW w:w="794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November 30, 2024</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1,956,015</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RSUs 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1,670,856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r>
      <w:tr>
        <w:trPr>
          <w:trHeight w:val="27"/>
        </w:trPr>
        <w:tc>
          <w:tcPr>
            <w:tcW w:w="7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RSUs 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RSUs 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7"/>
        </w:trPr>
        <w:tc>
          <w:tcPr>
            <w:tcW w:w="7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8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August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2,685,470</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Under the Company’s 2020 Employee Stock Purchase Plan (the ESPP), eligible employees are entitled to purchase shares of common stock with accumulated payroll deductions. During the nine months ended August 31, 2025, the Company issued 192,445 shares of common stock pursuant to the ESPP at a weighted-average price of $11.59 per share.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80"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the Stock Plans, the 2024 Inducement Plan and the ESPP that is included in the Company’s condensed statements of operations is as follows (in thousands):</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4"/>
                <w:szCs w:val="14"/>
                <w:color w:val="auto"/>
              </w:rPr>
            </w:pPr>
          </w:p>
        </w:tc>
      </w:tr>
      <w:tr>
        <w:trPr>
          <w:trHeight w:val="190"/>
        </w:trPr>
        <w:tc>
          <w:tcPr>
            <w:tcW w:w="4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980" w:type="dxa"/>
            <w:vAlign w:val="bottom"/>
          </w:tcPr>
          <w:p>
            <w:pPr>
              <w:spacing w:after="0"/>
              <w:rPr>
                <w:sz w:val="16"/>
                <w:szCs w:val="16"/>
                <w:color w:val="auto"/>
              </w:rPr>
            </w:pPr>
          </w:p>
        </w:tc>
      </w:tr>
      <w:tr>
        <w:trPr>
          <w:trHeight w:val="51"/>
        </w:trPr>
        <w:tc>
          <w:tcPr>
            <w:tcW w:w="45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186"/>
        </w:trPr>
        <w:tc>
          <w:tcPr>
            <w:tcW w:w="4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5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16,508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12,371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12,678</w:t>
            </w:r>
          </w:p>
        </w:tc>
      </w:tr>
      <w:tr>
        <w:trPr>
          <w:trHeight w:val="27"/>
        </w:trPr>
        <w:tc>
          <w:tcPr>
            <w:tcW w:w="4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28,879</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25,421</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As of August 31, 2025, the total compensation cost related to stock-based awards not yet recognized was $69.0 million, which is expected to be amortized on a straight-line basis over the weighted-average remaining vesting period of approximately 2.3 years.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Defined Contribution Plan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sponsors a defined-contribution savings plan under Section 401(k) of the Internal Revenue Code of 1986, as amended (the 401(k)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which provides for the Company to make discretionary matching or discretionary annual contributions to the 401(k) Plan, for its employees.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employees are eligible to participate in the 401(k) Plan. Employees may contribute a percentage of their annual</w:t>
      </w:r>
    </w:p>
    <w:p>
      <w:pPr>
        <w:spacing w:after="0" w:line="234" w:lineRule="auto"/>
        <w:rPr>
          <w:sz w:val="20"/>
          <w:szCs w:val="20"/>
          <w:color w:val="auto"/>
        </w:rPr>
      </w:pPr>
      <w:r>
        <w:rPr>
          <w:rFonts w:ascii="Times New Roman" w:cs="Times New Roman" w:eastAsia="Times New Roman" w:hAnsi="Times New Roman"/>
          <w:sz w:val="18"/>
          <w:szCs w:val="18"/>
          <w:color w:val="auto"/>
        </w:rPr>
        <w:t>compensation to the plan, subject to statutory limitations. The Company has made contributions to the 401(k) Plan and recorded contribution expense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and $1.1 million during the three and nine months ended August 31, 2025, respectively, and $0.1 million and $0.8 million during the three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August 31, 2024, respectively.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For the three and nine months ended August 31, 2025, the Company recorded an income tax provision of zero and $760,000, respectively. For the three and nine months ended August 31, 2024, the Company recorded an income tax provision of $82,000 and $262,000, respectively. Deferred income taxes reflect the net tax effects of loss and credit carryforwards and temporary differences between the carrying amounts of assets and liabilities for financial reporting purposes and the amounts used for income tax purposes. Realization of the deferred tax assets is dependent upon future taxable income, the amount, if any, and timing of which are uncertain. The Company has generated losses since inception and has established a valuation allowance to offset deferred tax assets as of August 31, 2025 and 2024 due to the uncertainty of realizing future tax benefits from its net operating loss (NOL) carryforwards and other deferred tax assets.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firstLine="648"/>
        <w:spacing w:after="0" w:line="246" w:lineRule="auto"/>
        <w:rPr>
          <w:sz w:val="20"/>
          <w:szCs w:val="20"/>
          <w:color w:val="auto"/>
        </w:rPr>
      </w:pPr>
      <w:r>
        <w:rPr>
          <w:rFonts w:ascii="Times New Roman" w:cs="Times New Roman" w:eastAsia="Times New Roman" w:hAnsi="Times New Roman"/>
          <w:sz w:val="18"/>
          <w:szCs w:val="18"/>
          <w:color w:val="auto"/>
        </w:rPr>
        <w:t>The Company files income tax returns in the United States and in various states. In January 2019, the California Franchise Tax Board (FTB) initiated an examination of the Company’s California tax return for tax years ending in 2015, 2016, 2017 and 2018. During the year ended November 30, 2021, the FTB issued proposed audit assessments related to revenue sourcing and R&amp;D credits. The Company did not agree with the FTB’s assessments and challenged the assessments. In May 2025, the Company received new information from the FTB and remeasured the unrecognized tax benefit for California revenue sourcing, resulting in discrete tax expense. The Company entered into settlement procedures with the FTB in September 2025.</w:t>
      </w:r>
    </w:p>
    <w:p>
      <w:pPr>
        <w:spacing w:after="0" w:line="8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several significant tax provisions, such as the permanent extension of certain expiring provisions of the Tax Cuts and Jobs Act, modifications to the international tax framework and the restoration of certain business provisions. The legislation has multiple effective dates, with certain provisions effective in 2025 and others implemented through 2027. The Company will no longer be required to capitalize its domestic research and experimental costs under Section 174 of the Internal Revenue Code beginning with the tax year ending November 30, 2026. The Company does not expect the enactment of OBBBA to have a material impact on its condensed financial statements.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 which excludes shares which are legally outstanding but subject to repurchase by the Company (in thousands, except share and per share data):</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5"/>
                <w:szCs w:val="15"/>
                <w:color w:val="auto"/>
              </w:rPr>
            </w:pPr>
          </w:p>
        </w:tc>
      </w:tr>
      <w:tr>
        <w:trPr>
          <w:trHeight w:val="190"/>
        </w:trPr>
        <w:tc>
          <w:tcPr>
            <w:tcW w:w="4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980" w:type="dxa"/>
            <w:vAlign w:val="bottom"/>
          </w:tcPr>
          <w:p>
            <w:pPr>
              <w:spacing w:after="0"/>
              <w:rPr>
                <w:sz w:val="16"/>
                <w:szCs w:val="16"/>
                <w:color w:val="auto"/>
              </w:rPr>
            </w:pPr>
          </w:p>
        </w:tc>
      </w:tr>
      <w:tr>
        <w:trPr>
          <w:trHeight w:val="37"/>
        </w:trPr>
        <w:tc>
          <w:tcPr>
            <w:tcW w:w="44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4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4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(86,421)</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(48,956)</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(186,236)</w:t>
            </w:r>
          </w:p>
        </w:tc>
        <w:tc>
          <w:tcPr>
            <w:tcW w:w="14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(135,020)</w:t>
            </w:r>
          </w:p>
        </w:tc>
      </w:tr>
      <w:tr>
        <w:trPr>
          <w:trHeight w:val="27"/>
        </w:trPr>
        <w:tc>
          <w:tcPr>
            <w:tcW w:w="4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25"/>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number of shares outstanding, basic and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1"/>
        </w:trPr>
        <w:tc>
          <w:tcPr>
            <w:tcW w:w="4480" w:type="dxa"/>
            <w:vAlign w:val="bottom"/>
            <w:tcBorders>
              <w:bottom w:val="single" w:sz="8" w:color="CCEEFF"/>
            </w:tcBorders>
          </w:tcPr>
          <w:p>
            <w:pPr>
              <w:ind w:left="180"/>
              <w:spacing w:after="0" w:line="262"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84,159,336</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72,779,381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83,869,469</w:t>
            </w:r>
          </w:p>
        </w:tc>
        <w:tc>
          <w:tcPr>
            <w:tcW w:w="1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63,384,174</w:t>
            </w:r>
          </w:p>
        </w:tc>
      </w:tr>
      <w:tr>
        <w:trPr>
          <w:trHeight w:val="289"/>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820" w:right="60" w:hanging="169"/>
        <w:spacing w:after="0" w:line="272" w:lineRule="auto"/>
        <w:tabs>
          <w:tab w:leader="none" w:pos="82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shares underlying the pre-funded warrants to purchase shares of the Company’s common stock have been included in the calculation of the weighted-average number of shares outstanding, basic and diluted, for the three and nine months ended August 31, 2025 and 2024.</w:t>
      </w:r>
    </w:p>
    <w:p>
      <w:pPr>
        <w:spacing w:after="0" w:line="179"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the diluted net loss per share of common stock for the periods presented because their effect would have been anti-dilutive: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14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1120" w:type="dxa"/>
            <w:vAlign w:val="bottom"/>
          </w:tcPr>
          <w:p>
            <w:pPr>
              <w:spacing w:after="0"/>
              <w:rPr>
                <w:sz w:val="16"/>
                <w:szCs w:val="16"/>
                <w:color w:val="auto"/>
              </w:rPr>
            </w:pPr>
          </w:p>
        </w:tc>
      </w:tr>
      <w:tr>
        <w:trPr>
          <w:trHeight w:val="37"/>
        </w:trPr>
        <w:tc>
          <w:tcPr>
            <w:tcW w:w="794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7940" w:type="dxa"/>
            <w:vAlign w:val="bottom"/>
          </w:tcPr>
          <w:p>
            <w:pPr>
              <w:spacing w:after="0"/>
              <w:rPr>
                <w:sz w:val="16"/>
                <w:szCs w:val="16"/>
                <w:color w:val="auto"/>
              </w:rPr>
            </w:pPr>
          </w:p>
        </w:tc>
        <w:tc>
          <w:tcPr>
            <w:tcW w:w="15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4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issued and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11,694,499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9,854,733</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2,685,470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2,081,904</w:t>
            </w:r>
          </w:p>
        </w:tc>
      </w:tr>
      <w:tr>
        <w:trPr>
          <w:trHeight w:val="27"/>
        </w:trPr>
        <w:tc>
          <w:tcPr>
            <w:tcW w:w="7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expected to be purchased under employee stock purchase plan</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207,107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74,620</w:t>
            </w:r>
          </w:p>
        </w:tc>
      </w:tr>
      <w:tr>
        <w:trPr>
          <w:trHeight w:val="26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14,587,076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12,011,257</w:t>
            </w:r>
          </w:p>
        </w:tc>
      </w:tr>
      <w:tr>
        <w:trPr>
          <w:trHeight w:val="21"/>
        </w:trPr>
        <w:tc>
          <w:tcPr>
            <w:tcW w:w="79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21"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7"/>
          <w:szCs w:val="17"/>
          <w:color w:val="auto"/>
        </w:rPr>
        <w:t>The Company’s Chief Financial Officer is a trustee for the multiple employer welfare association that facilitates the acquisition and administration of the Company’s healthcare plans. Expenses related to the healthcare plan premiums were $1.8 million and $4.6 million for the three and nine months ended August 31, 2025, respectively, and $1.0 million and $3.2 million for the three and nine months ended August 31, 2024, respectively. As of</w:t>
      </w:r>
    </w:p>
    <w:p>
      <w:pPr>
        <w:spacing w:after="0" w:line="1"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8"/>
          <w:szCs w:val="18"/>
          <w:color w:val="auto"/>
        </w:rPr>
        <w:t>August 31, 2025 and November 30, 2024, the amount recorded in accounts payable and accrued expenses and other current liabilities in connection with this healthcare plan provider was not material.</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648"/>
        <w:spacing w:after="0" w:line="214"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(1) the unaudited condensed financial statements and the related notes included in Part I, Item 1 of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(2) the audited financial statements and related notes and management’s discussion and analysis of financial condition and results of operations for the fiscal year ended November 30, 2024, included in our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filed on January 28, 2025.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7"/>
          <w:szCs w:val="17"/>
          <w:color w:val="auto"/>
        </w:rPr>
        <w:t>We are a clinical stage biopharmaceutical company focused on the discovery, development and commercialization of medicines based on targeted protein degradation, the next frontier in innovative drug design aimed at improving treatment options for patients with cancer and autoimmune diseases. Powered by our prolific DEL-AI discovery engine and leading ligase expertise, capable of tackling any protein class, we have built a significant advantage in translating the science of degradation into clinical advancements. We aim to establish degrader-based treatments at the forefront of patient care, writing medicine’s next chapter with a new script to outmatch disease. We leverage our proprietary DEL-AI platform, employing advanced automated chemistry synthesis and direct-to-biology technologies, to rapidly generate degraders and degrader antibody conjugates (DACs) as first-in-class or best-in-class drug candidates. Harnessing validated binding data collected from DEL screens of hundreds of diverse targets, our DEL-AI platform can prospectively identify binders to genetically validated, high value targets that have yet to be drugged. Our wholly owned, clinical stage pipeline includes targeted protein degraders of Bruton’s tyrosine kinase (BTK), a B-cell signaling protein, and inhibitors of Casitas B-lineage lymphoma proto-oncogene B (CBL-B), an E3 ligase that regulates activation of multiple immune cell types including T cells and NK cells. Our partnered drug discovery pipeline consists of multiple programs under collaboration agreements with Gilead Sciences, Inc. (Gilead), Sanofi S.A. (Sanofi) and Seagen Inc. (now a part of Pfizer Inc. (Pfizer)), within which we retain certain options for co-development, co-commercialization and profit sharing in the United States for multiple drug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Protein Degradation</w:t>
      </w:r>
    </w:p>
    <w:p>
      <w:pPr>
        <w:spacing w:after="0" w:line="80" w:lineRule="exact"/>
        <w:rPr>
          <w:sz w:val="20"/>
          <w:szCs w:val="20"/>
          <w:color w:val="auto"/>
        </w:rPr>
      </w:pPr>
    </w:p>
    <w:p>
      <w:pPr>
        <w:ind w:right="160" w:firstLine="648"/>
        <w:spacing w:after="0" w:line="231" w:lineRule="exact"/>
        <w:rPr>
          <w:sz w:val="20"/>
          <w:szCs w:val="20"/>
          <w:color w:val="auto"/>
        </w:rPr>
      </w:pPr>
      <w:r>
        <w:rPr>
          <w:rFonts w:ascii="Times New Roman" w:cs="Times New Roman" w:eastAsia="Times New Roman" w:hAnsi="Times New Roman"/>
          <w:sz w:val="18"/>
          <w:szCs w:val="18"/>
          <w:color w:val="auto"/>
        </w:rPr>
        <w:t>Our portfolio of targeted protein degraders of BTK, a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signaling protein, comprises bexobrutideg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an investigational, orally bioavailable degrader of BTK for the treatment of relapsed or refractory B-cell malignancies and potentially autoimmune diseases, and zelebrudomide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an investigational orally bioavailable degrader of BTK that also degrades cereblon neosubstrates IKZF1 (Ikaros) and IKZF3 (Aiolos) for the treatment of relapsed or refractory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malignancies.</w:t>
      </w:r>
    </w:p>
    <w:p>
      <w:pPr>
        <w:spacing w:after="0" w:line="5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Bexobrutideg (NX-5948): We are currently conducting a Phase 1a/1b dose-escalation and cohort expansion study in patients with relapsed or refractory B-cell malignancies and we expect to initiate a Phase 2 clinical trial of bexobrutideg in 2025. We also recently initiated a Phase 1 healthy volunteer study to assess food effects and drug-drug interactions in anticipation of the planned initiation of pivotal development in 2025. In January 2024, the U.S. Food and Drug Administration (FDA) granted Fast Track designation for bexobrutideg for the treatment of adult patients with relapsed or refractory chronic lymphocytic leukemia (CLL) or small lymphocytic lymphoma (SLL) after at least two lines of therapy, including a BTK inhibitor (BTKi) and a B-cell lymphoma 2 (BCL2) inhibitor. In November 2024, the European Medicines Agency (EMA) granted PRIME designation for bexobrutideg in CLL or SLL after at least a BTKi and a BCL-2 inhibitor. In December 2024, the FDA granted Fast Track designation for bexobrutideg for the treatment of adult patients with Waldenström macroglobulinemia (WM) after at least two lines of therapy, including a BTKi. In March 2025, the FDA granted Orphan Drug Designation to bexobrutideg for the treatment of adult patients with WM, and in June 2025, the EMA granted Orphan Drug Designation to bexobrutideg for the treatment of adult patients with lymphoplasmacytic lymphoma, of which WM is the most common subtype.</w:t>
      </w:r>
    </w:p>
    <w:p>
      <w:pPr>
        <w:spacing w:after="0" w:line="37" w:lineRule="exact"/>
        <w:rPr>
          <w:sz w:val="20"/>
          <w:szCs w:val="20"/>
          <w:color w:val="auto"/>
        </w:rPr>
      </w:pPr>
    </w:p>
    <w:p>
      <w:pPr>
        <w:ind w:right="60" w:firstLine="648"/>
        <w:spacing w:after="0" w:line="220" w:lineRule="exact"/>
        <w:rPr>
          <w:sz w:val="20"/>
          <w:szCs w:val="20"/>
          <w:color w:val="auto"/>
        </w:rPr>
      </w:pPr>
      <w:r>
        <w:rPr>
          <w:rFonts w:ascii="Times New Roman" w:cs="Times New Roman" w:eastAsia="Times New Roman" w:hAnsi="Times New Roman"/>
          <w:sz w:val="18"/>
          <w:szCs w:val="18"/>
          <w:color w:val="auto"/>
        </w:rPr>
        <w:t>Zelebrudomide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We are currently conducting a Phase 1a/1b dose-escalation and cohort expansion study of zelebrudomide in patients with relapsed or refractory B-cell malignancies. We have initiated Phase 1b expansion cohorts for patients with relapsed CLL, diffuse large B-cell lymphoma and mantle cell lymphoma. In March 2024, the FDA lifted the partial clinical hold on the U.S. Phase 1a/1b study evaluating zelebrudomide in adults with relapsed/refractory B-cell malignancies. In August 2024, we reinitiated enrollment with a new chirally controlled drug product, which is being evaluated in a dose escalation study within the Phase 1a/b trial.</w:t>
      </w: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Degradation Inhibitor</w:t>
      </w:r>
    </w:p>
    <w:p>
      <w:pPr>
        <w:spacing w:after="0" w:line="121"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Our degradation inhibitor program includes NX-1607, an orally bioavailable inhibitor of CBL-B, an E3 ligase that regulates the activation of multiple immune cell types including T cells and NK cells. NX-1607 is targeted for immuno-oncology indications.</w:t>
      </w:r>
    </w:p>
    <w:p>
      <w:pPr>
        <w:spacing w:after="0" w:line="68"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We are currently conducting a Phase 1a/1b dose-escalation and cohort expansion study of NX-1607 in patients with a range of oncology indications. This study also includes a cohort within the Phase 1a dose escalation study testing NX-1607 in combination with paclitaxel, a taxane chemotherapy commonly used across a range of relapsed and refractory solid tumor indications. In 2022, NX-1607 was awarded an Innovation Passport from the UK Medicines and Healthcare products Regulatory Agency to accelerate time to market and facilitate patient access to novel drugs to treat serious and life-threatening diseases.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Discovery Pipeline</w:t>
      </w:r>
    </w:p>
    <w:p>
      <w:pPr>
        <w:spacing w:after="0" w:line="12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In addition to our clinical stage drug candidates, we are extending our protein degrader and ligase inhibitor portfolio, both on our own and with partners, by developing new targeted protein degraders and ligase inhibitors for a number of targets for which we believe these modalities can be clinically advantageous over existing therapies. These existing and future programs may have the potential to address diseases with significant unmet need, including cancer, autoimmunity, inflammation, and other challenging diseases.</w:t>
      </w:r>
    </w:p>
    <w:p>
      <w:pPr>
        <w:spacing w:after="0" w:line="83"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We have entered into several revenue generating collaborations with large biopharmaceutical companies, including with Gilead, Sanofi and Seagen (now a part of Pfizer), to leverage our DEL-AI platform for drug discovery. These collaborations allow us to further advance our future pipeline with multiple currently identified targets included in these collaborations. In aggregate, we have received $482.0 million in non-dilutive financing from our collaborators to date, and as of August 31, 2025, we are eligible to receive up to $6.1 billion in potential future fees and milestone payments, as well as royalties on future product sales. We retain certain options for co-development, co-commercialization and profit sharing in the United States for multiple drug candidates, pursuant to these collaborations.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w:t>
      </w:r>
    </w:p>
    <w:p>
      <w:pPr>
        <w:spacing w:after="0" w:line="12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In June 2019, we entered into a global strategic collaboration agreement with Gilead (as subsequently amended, the Gilead Agreement) to discover, develop and commercialize a pipeline of targeted protein degradation drugs for patients with cancer and other challenging diseases using our DEL-AI platform to identify novel agents that utilize E3 ligases to induce degradation of five specified drug targets. In August 2019 and September 2022, we and Gilead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(Gilead Research Term Extension). The Gilead Research Term Extension triggered a $15.0 million payment that we received in the second quarter of fiscal year 2024.</w:t>
      </w:r>
    </w:p>
    <w:p>
      <w:pPr>
        <w:spacing w:after="0" w:line="73"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provided that we may only exercise such option once per licensed product and Gilead retains the right to veto our option selection for any one drug candidate of its choice. The collaboration excludes our current internal protein degradation programs for which we retain all rights, and also excludes our future internal programs, provided that we have distinguished future programs as excluded from the scope of the collaboration. In March 2023, Gilead exercised its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we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7"/>
          <w:szCs w:val="17"/>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net ex-U.S. sales and reduced milestone payments.</w:t>
      </w:r>
    </w:p>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Upon signing the Gilead Agreement, Gilead paid us an upfront payment of $45.0 million, plus $3.0 million in additional fees. In addition, from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signing of the Gilead Agreement to August 31, 2025, we have received payments of $47.0 million for research milestones and additional payments,</w:t>
      </w:r>
    </w:p>
    <w:p>
      <w:pPr>
        <w:spacing w:after="0" w:line="234" w:lineRule="auto"/>
        <w:rPr>
          <w:sz w:val="20"/>
          <w:szCs w:val="20"/>
          <w:color w:val="auto"/>
        </w:rPr>
      </w:pPr>
      <w:r>
        <w:rPr>
          <w:rFonts w:ascii="Times New Roman" w:cs="Times New Roman" w:eastAsia="Times New Roman" w:hAnsi="Times New Roman"/>
          <w:sz w:val="18"/>
          <w:szCs w:val="18"/>
          <w:color w:val="auto"/>
        </w:rPr>
        <w:t>$20.0 million for a license option exercise payment, $15.0 million in research term extension fees and $5.0 million for a clinical milestone payment. As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31, 2025, we are eligible to receive up to approximately $1.8 billion in total additional payments based on certain additional fees, payments and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 completion of certain preclinical, clinical, development and sales milestones. We also are eligible to receive mid-single digit to low tens</w:t>
      </w:r>
    </w:p>
    <w:p>
      <w:pPr>
        <w:spacing w:after="0" w:line="234" w:lineRule="auto"/>
        <w:rPr>
          <w:sz w:val="20"/>
          <w:szCs w:val="20"/>
          <w:color w:val="auto"/>
        </w:rPr>
      </w:pPr>
      <w:r>
        <w:rPr>
          <w:rFonts w:ascii="Times New Roman" w:cs="Times New Roman" w:eastAsia="Times New Roman" w:hAnsi="Times New Roman"/>
          <w:sz w:val="18"/>
          <w:szCs w:val="18"/>
          <w:color w:val="auto"/>
        </w:rPr>
        <w:t>percentage tiered royalties on annual net sales from any commercial products directed to the optioned collaboration targets, subject to certain reductions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excluding sales in the United States of any products for which we exercise our option to co-develop and co-promote, for which the parties share profits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losses evenly.</w:t>
      </w:r>
    </w:p>
    <w:p>
      <w:pPr>
        <w:spacing w:after="0" w:line="85"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our exercise of our option to co-develop and co-promote such licensed product.</w:t>
      </w:r>
    </w:p>
    <w:p>
      <w:pPr>
        <w:spacing w:after="0" w:line="72"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recognized collaboration revenue from the Gilead Agreement of $2.1 million and $5.5 million during the three and nine months ended August 31, 2025, respectively, and $2.4 million and $11.9 million during the three and nine months ended August 31, 2024, respectively. As of August 31, 2025 and November 30, 2024, there was $5.5 million and $11.0 million, respectively, of deferred revenue related to payments received by us under the Gilead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DEL-AI platform to identify small molecules designed to induce degradation of three specified initial drug targets. In January 2021, as part of the existing Sanofi Agreement, Sanofi paid us $22.0 million to exercise its option to expand the number of targets in the Sanofi Agreement from three to a total of five targets.</w:t>
      </w:r>
    </w:p>
    <w:p>
      <w:pPr>
        <w:spacing w:after="0" w:line="6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In January 2021, we and Sanofi entered into the First Amendment to the Sanofi Agreement to modify the research term on all targets. In</w:t>
      </w:r>
    </w:p>
    <w:p>
      <w:pPr>
        <w:spacing w:after="0" w:line="1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December 2021, we and Sanofi entered into the Second Amendment to the Sanofi Agreement to extend the substitution deadline on certain targets. In July 2022, we and Sanofi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we and Sanofi entered into the Fourth Amendment and Fifth Amendment, respectively, to the Sanofi Agreement to modify the research plan for certain targets, which had no impact on revenue recognition. In March 2024, we and Sanofi entered into the Sixth Amendment to the Sanofi Agreement to extend the research term for the collaboration target STAT6 (signal transducer and activator of transcription 6), a key drug target in type 2 inflammation, by two years, which is expected to increase overall forecasted costs and have an impact on revenue recognition.</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firstLine="648"/>
        <w:spacing w:after="0" w:line="243" w:lineRule="auto"/>
        <w:rPr>
          <w:sz w:val="20"/>
          <w:szCs w:val="20"/>
          <w:color w:val="auto"/>
        </w:rPr>
      </w:pPr>
      <w:r>
        <w:rPr>
          <w:rFonts w:ascii="Times New Roman" w:cs="Times New Roman" w:eastAsia="Times New Roman" w:hAnsi="Times New Roman"/>
          <w:sz w:val="18"/>
          <w:szCs w:val="18"/>
          <w:color w:val="auto"/>
        </w:rPr>
        <w:t>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Our right to exercise our option to co-develop, co-promote and co-commercialize a given target is dependent on our ability to demonstrate, within a given timeframe, that we have sufficient cash resources and personnel to commercialize the product. The collaboration excludes our current internal protein degradation programs for which we retain all rights, and also excludes our future internal programs, provided that we distinguished future programs as excluded from the scope of the collaboration.</w:t>
      </w:r>
    </w:p>
    <w:p>
      <w:pPr>
        <w:spacing w:after="0" w:line="9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March 2025, Sanofi exercised its right to exclusively license one target (the First Sanofi License Extension), the first development candidate resulting from the Sanofi Agreement. This right did not represent a material right at contract inception, since it was not offered for free or at a discount. Pursuant to the Sanofi Agreement, we received a license extension fee payment of $15.0 million in March 2025 for the First Sanofi License Extension. In May 2025, Sanofi exercised its right to exclusively license a second target (the Second Sanofi License Extension, and together with the First Sanofi License Extension, the Sanofi License Extensions), the second development candidate resulting from the Sanofi Agreement. This right also did not represent a material right at contract inception, since it was not offered for free or at a discount. Pursuant to the Sanofi Agreement, we received a license extension fee payment of $15.0 million in June 2025 for the Second Sanofi License Extension. The license to the functional intellectual property and all goods and services related to both the First Sanofi License Extension and the Second Sanofi License Extension were transferred during the second quarter of fiscal year 2025.</w:t>
      </w:r>
    </w:p>
    <w:p>
      <w:pPr>
        <w:spacing w:after="0" w:line="93"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the parties will split U.S. profits and losses evenly, and we will be eligible to receive royalties on ex-U.S. net sales and reduced milestone payments on such optioned products.</w:t>
      </w:r>
    </w:p>
    <w:p>
      <w:pPr>
        <w:spacing w:after="0" w:line="78"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7"/>
          <w:szCs w:val="17"/>
          <w:color w:val="auto"/>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August 31, 2025, we have received payments of $20.0 million for research milestones and $30.0 million for license extension fees. As of August 31, 2025, we are eligible to receive up to approximately $930.0 million in total additional payments based on successful completion of certain research development, regulatory and sales milestones. We are also eligible to receive mid-single digit to low teen percentage tiered royalties on annual net sales of any commercial products that may result from the collaboration, subject to certain reductions and excluding sales in the United States of any products for which we exercise our option to co-develop and co-promote, for which the parties share profits and losses evenly.</w:t>
      </w:r>
    </w:p>
    <w:p>
      <w:pPr>
        <w:spacing w:after="0" w:line="72" w:lineRule="exact"/>
        <w:rPr>
          <w:sz w:val="20"/>
          <w:szCs w:val="20"/>
          <w:color w:val="auto"/>
        </w:rPr>
      </w:pPr>
    </w:p>
    <w:p>
      <w:pPr>
        <w:ind w:right="340" w:firstLine="648"/>
        <w:spacing w:after="0" w:line="246"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spacing w:after="0" w:line="73" w:lineRule="exact"/>
        <w:rPr>
          <w:sz w:val="20"/>
          <w:szCs w:val="20"/>
          <w:color w:val="auto"/>
        </w:rPr>
      </w:pPr>
    </w:p>
    <w:p>
      <w:pPr>
        <w:ind w:right="300" w:firstLine="648"/>
        <w:spacing w:after="0" w:line="253" w:lineRule="auto"/>
        <w:rPr>
          <w:sz w:val="20"/>
          <w:szCs w:val="20"/>
          <w:color w:val="auto"/>
        </w:rPr>
      </w:pPr>
      <w:r>
        <w:rPr>
          <w:rFonts w:ascii="Times New Roman" w:cs="Times New Roman" w:eastAsia="Times New Roman" w:hAnsi="Times New Roman"/>
          <w:sz w:val="18"/>
          <w:szCs w:val="18"/>
          <w:color w:val="auto"/>
        </w:rPr>
        <w:t>We recognized collaboration revenue from the Sanofi Agreement of zero and $16.1 million during the three and nine months ended August 31, 2025, respectively, and $5.9 million and $16.2 million during the three and nine months ended August 31, 2024, respectively. We also recognized</w:t>
      </w:r>
    </w:p>
    <w:p>
      <w:pPr>
        <w:jc w:val="both"/>
        <w:ind w:right="20"/>
        <w:spacing w:after="0" w:line="273" w:lineRule="auto"/>
        <w:rPr>
          <w:sz w:val="20"/>
          <w:szCs w:val="20"/>
          <w:color w:val="auto"/>
        </w:rPr>
      </w:pPr>
      <w:r>
        <w:rPr>
          <w:rFonts w:ascii="Times New Roman" w:cs="Times New Roman" w:eastAsia="Times New Roman" w:hAnsi="Times New Roman"/>
          <w:sz w:val="17"/>
          <w:szCs w:val="17"/>
          <w:color w:val="auto"/>
        </w:rPr>
        <w:t>$30.0 million in license revenue received pursuant to the Sanofi License Extensions during the nine months ended August 31, 2025. As of August 31, 2025 and November 30, 2024, there was zero and $9.1 million, respectively, of deferred revenue related to payments received by us under the Sanofi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In September 2023, we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DACs, a new class of medicines for use in cancer treatment, and advancing these DAC drug candidates through preclinical and clinical development and commercialization.</w:t>
      </w:r>
    </w:p>
    <w:p>
      <w:pPr>
        <w:spacing w:after="0" w:line="6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Under the Pfizer Agreement, Pfizer has the option to obtain exclusive licenses to develop and commercialize certain degraders, while we retain an option for U.S. profit sharing and co-promotion on two products arising from the collaboration.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83"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For the targets nominated by Pfizer under the collaboration, we shall use commercially reasonable efforts to identify, synthesize, characterize and deliver targeted protein degraders that selectively bind to and degrade such targets. Development of licensed degraders, with the exception of licensed products for which we exercise our profit-share options, will be at Pfizer’s sole cost and expense. For the profit-share products, the parties will share net profits and net losses and global development costs, and we will be eligible to receive royalty and milestone payments on such optioned products.</w:t>
      </w:r>
    </w:p>
    <w:p>
      <w:pPr>
        <w:spacing w:after="0" w:line="6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Under the terms of the Pfizer Agreement, we received an upfront payment of $60.0 million. In addition, from the signing of the Pfizer Agreement to August 31, 2025, we have received payments of $10.0 million for research milestones. We are eligible to receive up to approximately $3.4 billion in contingent payments based on specified research, development, regulatory and commercial milestones across multiple programs. We are also eligible for mid-single to low double digit percentage tiered royalties on future sales.</w:t>
      </w:r>
    </w:p>
    <w:p>
      <w:pPr>
        <w:spacing w:after="0" w:line="69"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spacing w:after="0" w:line="6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recognized collaboration revenue from the Pfizer Agreement of $5.8 million and $13.8 million during the three and nine months ended August 31, 2025, respectively, and $4.2 million and $13.1 million during the three and nine months ended August 31, 2024, respectively. As of August 31, 2025 and November 30, 2024, there was $35.7 million and $44.5 million, respectively, of deferred revenue related to payments received by us under the Pfizer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21"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Celgene Corporation, Gilead, Sanofi and Pfizer and the issuance and sale of common stock, redeemable convertible preferred stock and pre-funded warrants. We do not expect to generate product revenue unless and until we successfully develop and obtain approval for the commercialization of a drug candidate, and we cannot assure you that we will ever generate significant revenue or profits.</w:t>
      </w:r>
    </w:p>
    <w:p>
      <w:pPr>
        <w:spacing w:after="0" w:line="87"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Since inception, we have generally incurred significant losses and negative cash flows from operations. During the nine months ended August 31, 2025 and 2024, we incurred net losses of $186.2 million and $135.0 million, respectively. As of August 31, 2025, we had an accumulated deficit of $925.0 million. These losses have resulted primarily from costs incurred in connection with research and development activities and general and administrative costs associated with our operations.</w:t>
      </w:r>
    </w:p>
    <w:p>
      <w:pPr>
        <w:spacing w:after="0" w:line="69" w:lineRule="exact"/>
        <w:rPr>
          <w:sz w:val="20"/>
          <w:szCs w:val="20"/>
          <w:color w:val="auto"/>
        </w:rPr>
      </w:pPr>
    </w:p>
    <w:p>
      <w:pPr>
        <w:ind w:right="220" w:firstLine="648"/>
        <w:spacing w:after="0" w:line="242" w:lineRule="auto"/>
        <w:rPr>
          <w:sz w:val="20"/>
          <w:szCs w:val="20"/>
          <w:color w:val="auto"/>
        </w:rPr>
      </w:pPr>
      <w:r>
        <w:rPr>
          <w:rFonts w:ascii="Times New Roman" w:cs="Times New Roman" w:eastAsia="Times New Roman" w:hAnsi="Times New Roman"/>
          <w:sz w:val="18"/>
          <w:szCs w:val="18"/>
          <w:color w:val="auto"/>
        </w:rPr>
        <w:t>We do not expect to generate any revenue from commercial product sales unless and until we successfully complete development and obtain regulatory approval for one or more of our drug candidates, which we expect will take a number of years, if ever. We expect our expenses will increase substantially as we advance our drug candidates through preclinical and clinical development; enter advanced clinical development and scale up external manufacturing capabilities to supply clinical trials; apply our DEL-AI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incurring costs associated with operating as a public company, including significant legal, accounting, insurance, investor relations and other administrative and professional services expenses.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net losses and cash flows may fluctuate significantly from period to period, depending on, among other things, variations in the level of expense related to the ongoing development of our drug candidates, our DEL-AI platform or future development programs; the delay, addition or termination of clinical trials; and the execution of any additional collaboration, licensing or similar arrangements, and the timing of payments we may make or receive under such arrangements.</w:t>
      </w:r>
    </w:p>
    <w:p>
      <w:pPr>
        <w:spacing w:after="0" w:line="6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As of August 31, 2025, we had $428.8 million in cash, cash equivalents and marketable securities. We expect that our existing cash, cash equivalents and marketable securities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Current Business, Political and Macroeconomic Conditions</w:t>
      </w:r>
    </w:p>
    <w:p>
      <w:pPr>
        <w:spacing w:after="0" w:line="121"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Uncertainty in the business, political and macroeconomic environments present significant risks to our business. We are subject to continuing risks and uncertainties, including increasing financial market volatility and uncertainty, inflation, interest rate fluctuations, changing tariff policies and trade restrictions, uncertainty with respect to the federal budget and debt ceiling and potential government shutdowns related thereto, instability in the global banking system, cybersecurity events, the impact of war or military conflict, including regional conflicts around the world, and public health pandemics. We closely monitor the impact of these factors on all aspects of our business, including the impacts on our clinical trial patients, employees, partner, suppliers, and vendors.</w:t>
      </w:r>
    </w:p>
    <w:p>
      <w:pPr>
        <w:spacing w:after="0" w:line="87"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ultimate impact of global and domestic economic conditions on our business remains highly uncertain and will depend on future developments and factors that continue to evolve. Most of these developments and factors are outside of our control and could exist for an extended period of time. As a result, we are subject to continuing risks and uncertainties and continue to closely monitor the impact of the current conditions on our business. For more information regarding these risks and uncertainties, see the section titled “Risk Factors” in this Quarterly Report on Form 10-Q.</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commercial sale and to date have not generated any revenue from the sale of products and do not expect to generate any revenue from the sale of products in the near future.</w:t>
      </w:r>
    </w:p>
    <w:p>
      <w:pPr>
        <w:spacing w:after="0" w:line="68"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spacing w:after="0" w:line="87"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spacing w:after="0" w:line="82"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license revenue consists of payments from the Sanofi License Extensions.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Internal research and development costs include:</w:t>
      </w:r>
    </w:p>
    <w:p>
      <w:pPr>
        <w:spacing w:after="0" w:line="104" w:lineRule="exact"/>
        <w:rPr>
          <w:sz w:val="20"/>
          <w:szCs w:val="20"/>
          <w:color w:val="auto"/>
        </w:rPr>
      </w:pPr>
    </w:p>
    <w:p>
      <w:pPr>
        <w:ind w:left="980" w:right="66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personnel expenses, including benefits, stock-based compensation and travel expenses, for our research and development functions;</w:t>
      </w:r>
    </w:p>
    <w:p>
      <w:pPr>
        <w:spacing w:after="0" w:line="40" w:lineRule="exact"/>
        <w:rPr>
          <w:rFonts w:ascii="Times New Roman" w:cs="Times New Roman" w:eastAsia="Times New Roman" w:hAnsi="Times New Roman"/>
          <w:sz w:val="18"/>
          <w:szCs w:val="18"/>
          <w:color w:val="auto"/>
        </w:rPr>
      </w:pPr>
    </w:p>
    <w:p>
      <w:pPr>
        <w:ind w:left="980" w:right="420" w:hanging="324"/>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research and development platform used across programs, process development, manufacturing and preclinical research and development for earlier stage programs and new technologies; and</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research and development equipment, allocated overhead and facilities-related expenses.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External expenses for clinical development programs and other research and development expenses include:</w:t>
      </w:r>
    </w:p>
    <w:p>
      <w:pPr>
        <w:spacing w:after="0" w:line="104" w:lineRule="exact"/>
        <w:rPr>
          <w:sz w:val="20"/>
          <w:szCs w:val="20"/>
          <w:color w:val="auto"/>
        </w:rPr>
      </w:pPr>
    </w:p>
    <w:p>
      <w:pPr>
        <w:ind w:left="980" w:right="4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consultants, contractors and contract research organizations to conduct our clinical trials, discovery programs and preclinical studies;</w:t>
      </w:r>
    </w:p>
    <w:p>
      <w:pPr>
        <w:spacing w:after="0" w:line="40" w:lineRule="exact"/>
        <w:rPr>
          <w:rFonts w:ascii="Times New Roman" w:cs="Times New Roman" w:eastAsia="Times New Roman" w:hAnsi="Times New Roman"/>
          <w:sz w:val="18"/>
          <w:szCs w:val="18"/>
          <w:color w:val="auto"/>
        </w:rPr>
      </w:pPr>
    </w:p>
    <w:p>
      <w:pPr>
        <w:ind w:left="980" w:right="580" w:hanging="324"/>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acquire, develop and manufacture supplies for clinical trials and preclinical studies, including fees paid to third parties such as contract manufacturing organizations; and</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laboratory supplies and services.</w:t>
      </w:r>
    </w:p>
    <w:p>
      <w:pPr>
        <w:spacing w:after="0" w:line="104"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do not allocate our internal costs by product candidate. With respect to internal costs, several of our departments support multiple product candidate research and development programs, and therefore the costs cannot be allocated to a particular product candidate or development program. Our research and development expenses are summarized as follows (in thousands):</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clinical development expenses: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Bexobrutideg (NX-5948)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Zelebrudomide (NX-2127)</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NX-1607</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40,092</w:t>
            </w:r>
          </w:p>
        </w:tc>
        <w:tc>
          <w:tcPr>
            <w:tcW w:w="0" w:type="dxa"/>
            <w:vAlign w:val="bottom"/>
          </w:tcPr>
          <w:p>
            <w:pPr>
              <w:spacing w:after="0"/>
              <w:rPr>
                <w:sz w:val="1"/>
                <w:szCs w:val="1"/>
                <w:color w:val="auto"/>
              </w:rPr>
            </w:pPr>
          </w:p>
        </w:tc>
      </w:tr>
      <w:tr>
        <w:trPr>
          <w:trHeight w:val="26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86,120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55,481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30,639</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233,879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154,408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79,471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for the foreseeable future as we conduct clinical trials for our drug candidates, continue to invest in research and development activities for discovery programs and preclinical studies, pursue regulatory approval of our drug candidates and expand our drug candidate pipeline. The process of conducting the necessary preclinical and clinical research to obtain regulatory approval is costly and time-consuming. To the extent that our drug candidates advance to and continue to advance through clinical trials, our expenses will continue increasing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right="380" w:firstLine="648"/>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for the foreseeable future as we continue to improve our infrastructure and operate as a public company. This may include expenses related to compliance with the rules and regulations of the Securities and Exchange Commission (SEC) and listing standards applicable to companies listed on a national securities exchange, additional insurance, investor relations activities and other administrative and professional services.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Interest and other income, net primarily consists of interest earned on our cash, cash equivalents and marketable securities. We expect interest income to vary each reporting period depending on our average bank deposit, money market fund and marketable securities balances during the period and market interest rates.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provision for income taxes primarily consists of reserves for unrecognized tax benefits and state taxes. We have generated net operating losses since inception and have established a full valuation allowance against our deferred tax assets due to the uncertainty surrounding the realization of such assets.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condensed financial statements, which have been prepared in accordance with U.S. generally accepted accounting principles (U.S. GAAP). The preparation of these condensed financial statements requires us to make estimates and assumptions that affect the reported amounts of assets and liabilities and the disclosure of contingent assets and liabilities at the date of the condensed financial statements, as well as the reported revenue generated and expenses incurred during the reporting periods. Our estimates are based on our historical experience and on other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Our critical accounting policies and more significant areas involving management’s judgments and estimates used in preparation of our condensed financial statements are discussed in the section titled “Management’s Discussion and Analysis of Financial Condition and Results of Operations” in our Annual Report on Form 10-K for the fiscal year ended November 30, 2024. There have been no significant changes to these policies for the three and nine months ended August 31, 2025.</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Policies—Recently Adopted Accounting Pronouncements” to our condensed financial statements included elsewhere in this Quarterly Report on Form 10-Q for more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August 31, 2025 and 2024</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results of operations are summarized as follows (in thousands):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License revenue</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99,279</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32,080</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189,635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83,339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(54,201)</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(50,718)</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(186,236)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(135,020)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collaboration revenue is summarized as follows (in thousands):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Gilead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Sanofi</w:t>
            </w:r>
          </w:p>
        </w:tc>
        <w:tc>
          <w:tcPr>
            <w:tcW w:w="2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16,148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Pfizer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13,797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64"/>
        </w:trPr>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40,403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Our collaboration revenue decreased by $4.7 million during the three months ended August 31, 2025, compared to the three months ended August 31, 2024, primarily due to decreased revenue from our collaboration with Sanofi as we concluded the initial research term for certain drug targets. The decrease in collaboration revenue was partially offset by the increase in revenue from our collaboration with Pfizer due to a higher percentage of completion of performance obligations in the current period.</w:t>
      </w:r>
    </w:p>
    <w:p>
      <w:pPr>
        <w:spacing w:after="0" w:line="6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collaboration revenue decreased by $0.9 million during the nine months ended August 31, 2025, compared to the nine months ended August 31, 2024, primarily due to decreased revenue from our collaboration with Gilead as we concluded the initial research term for certain drug targets.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12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license revenue was $30.0 million for the nine months ended August 31, 2025 and is related to the Sanofi License Extensions. There was no license revenue for the nine months ended August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18"/>
          <w:szCs w:val="18"/>
          <w:color w:val="auto"/>
        </w:rPr>
        <w:t>Our research and development expenses increased by $30.6 million and $79.5 million during the three and nine months ended August 31, 2025, compared to the three and nine months ended August 31, 2024, respectively. For all periods presented, there was an increase in clinical, contract manufacturing and consulting costs as we continued to accelerate the enrollment of patients in the ongoing clinical trials of bexobrutideg (NX-5948) and prepare for the initiation of pivotal trials, and an increase in contract research costs to support our ongoing collaborations. There was also an increase in compensation and related personnel costs and non-cash stock-based compensation expense due to an increase in headcount.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increased by $1.4 million during the three months ended August 31, 2025, compared to the three months ended August 31, 2024. There was an increase in compensation and related personnel costs due to an increase in headcount.</w:t>
      </w:r>
    </w:p>
    <w:p>
      <w:pPr>
        <w:spacing w:after="0" w:line="68"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Our general and administrative expenses increased by $3.9 million during the nine months ended August 31, 2025, compared to the nine months ended August 31, 2024. There was an increase in compensation and related personnel costs due to an increase in headcount and an increase in consulting costs, partially offset by a decrease in legal costs.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In July 2020, we closed our initial public offering (IPO) and issued 12,550,000 shares of our common stock (including the exercise by the underwriters of their option to purchase an additional 1,550,000 shares of common stock in August 2020) at a price to the public of $19.00 per share for net proceeds of $218.1 million, after deducting underwriting discounts and commissions of $16.7 million and expenses of $3.6 million.</w:t>
      </w:r>
    </w:p>
    <w:p>
      <w:pPr>
        <w:spacing w:after="0" w:line="68"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18"/>
          <w:szCs w:val="18"/>
          <w:color w:val="auto"/>
        </w:rPr>
        <w:t>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spacing w:after="0" w:line="82"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In August 2021, we filed a shelf registration statement on Form S-3 with the SEC, which was amended in February 2023 (the Shelf Registration Statement) and which expired in August 2024 with respect to additional sales of securities. The Shelf Registration Statement, which included a base prospectus, allowed us to offer and sell up to $450.0 million of our registered common stock, preferred stock, debt securities, warrants, subscriptions rights and/or units or any combination of securities described in the prospectus in one or more offerings. In addition, in August 2021, we entered into an Equity Distribution Agreement with Piper Sandler &amp; Co. (Piper Sandler) pursuant to which, from time to time, we could offer and sell through Piper Sandler up to $150.0 million of the common stock registered under the Shelf Registration Statement pursuant to one or more “at the market” offerings. We are not required to sell any shares at any time during the term of the Equity Distribution Agreement. We agreed to pay Piper Sandler a commission of 3.0% of the gross sales price of any shares sold pursuant to the Equity Distribution Agreement. In June 2022, we issued and sold 2,000,000 shares of common stock under the Equity Distribution Agreement at a price of $10.00 per share for net proceeds of $19.3 million after deducting offering commissions and expenses paid by us. In May 2024, we issued and sold 3,194,809 shares of common stock under the Equity Distribution Agreement at various prices ranging from $15.50 to $16.00 per share for total net proceeds of $48.5 million, after deducting offering commissions and expenses paid by us (the May 2024 ATM Financing).</w:t>
      </w:r>
    </w:p>
    <w:p>
      <w:pPr>
        <w:spacing w:after="0" w:line="98"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In June 2024, we filed an automatic shelf registration statement on Form S-3 (the Automatic Shelf Registration Statement). The Automatic Shelf Registration Statement, which includes a base prospectus, allows us at any time to offer and sell our registered common stock, preferred stock, debt securities, warrants, subscriptions rights and/or units or any combination of securities described in the prospectus in one or more offerings. On July 11, 2024, we entered into Amendment No. 1 to the Equity Distribution Agreement (as amended, the Amended Equity Distribution Agreement), pursuant to which, from time to time, we could offer and sell through Piper Sandler up to $150.0 million of common stock registered under the Automatic Shelf Registration Statement pursuant to one or more “at the market” offerings. We are not required to sell any shares at any time during the term of the Amended Equity Distribution Agreement. We agreed to pay Piper Sandler a commission of up to 3.0% of the gross sales price of any shares sold pursuant to the Amended Equity Distribution Agreement. In August 2024, we issued and sold 2,145,000 shares of common stock under the Amended Equity Distribution Agreement at $20.00 per share for total net proceeds of $42.0 million after deducting offering commissions and expenses paid by us (the August 2024 ATM Financing). In October 2024, we issued and sold 4,803,573 shares of common stock under the Amended Equity Distribution Agreement at various prices ranging from $21.50 to $25.00 per share for total net proceeds of $105.3 million after deducting offering commissions and expenses paid by us (the October 2024 ATM Financing).</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On October 31, 2024, we entered into Amendment No. 2 to the Equity Distribution Agreement (as amended, the Second Amended Equity Distribution Agreement), pursuant to which, from time to time, we may offer and sell through Piper Sandler up to $300.0 million of common stock registered under the Automatic Shelf Registration Statement pursuant to one or more “at the market” offerings. We are not required to sell any shares at any time during the term of the Second Amended Equity Distribution Agreement. We agreed to pay Piper Sandler a commission of up to 3.0% of the gross sales price of any shares sold pursuant to the Second Amended Equity Distribution Agreement. In November 2024, we issued and sold 3,634,393 shares of common stock under the Second Amended Equity Distribution Agreement at $26.25 per share for total net proceeds of $93.6 million after deducting offering commissions and expenses paid by us (the November 2024 ATM Financing). As of August 31, 2025, we had $204.6 million of common stock remaining available for sale under the Second Amended Equity Distribution Agreement.</w:t>
      </w:r>
    </w:p>
    <w:p>
      <w:pPr>
        <w:spacing w:after="0" w:line="51" w:lineRule="exact"/>
        <w:rPr>
          <w:sz w:val="20"/>
          <w:szCs w:val="20"/>
          <w:color w:val="auto"/>
        </w:rPr>
      </w:pPr>
    </w:p>
    <w:p>
      <w:pPr>
        <w:ind w:right="60" w:firstLine="648"/>
        <w:spacing w:after="0" w:line="224" w:lineRule="exact"/>
        <w:rPr>
          <w:sz w:val="20"/>
          <w:szCs w:val="20"/>
          <w:color w:val="auto"/>
        </w:rPr>
      </w:pPr>
      <w:r>
        <w:rPr>
          <w:rFonts w:ascii="Times New Roman" w:cs="Times New Roman" w:eastAsia="Times New Roman" w:hAnsi="Times New Roman"/>
          <w:sz w:val="18"/>
          <w:szCs w:val="18"/>
          <w:color w:val="auto"/>
        </w:rPr>
        <w:t>In July 2022, we entered into separate securities purchase agreements with certain purchasers to issue and sell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an aggregate of 6,814,920 shares of our common stock in registered direct offerings (RDOs) at a price of $13.939 per pre-funded warrant (the 2022 Pre-Funded Warrants). Net proceeds from the RDOs were $94.8 million, after deducting offering expenses of $0.2 million. As of August 31, 2025, a total of 6,097,560 of the 2022 Pre-Funded Warrants remained available for exercise.</w:t>
      </w:r>
    </w:p>
    <w:p>
      <w:pPr>
        <w:spacing w:after="0" w:line="79" w:lineRule="exact"/>
        <w:rPr>
          <w:sz w:val="20"/>
          <w:szCs w:val="20"/>
          <w:color w:val="auto"/>
        </w:rPr>
      </w:pPr>
    </w:p>
    <w:p>
      <w:pPr>
        <w:ind w:right="20" w:firstLine="648"/>
        <w:spacing w:after="0" w:line="264" w:lineRule="auto"/>
        <w:rPr>
          <w:sz w:val="20"/>
          <w:szCs w:val="20"/>
          <w:color w:val="auto"/>
        </w:rPr>
      </w:pPr>
      <w:r>
        <w:rPr>
          <w:rFonts w:ascii="Times New Roman" w:cs="Times New Roman" w:eastAsia="Times New Roman" w:hAnsi="Times New Roman"/>
          <w:sz w:val="17"/>
          <w:szCs w:val="17"/>
          <w:color w:val="auto"/>
        </w:rPr>
        <w:t>In April 2024, we completed an underwritten public offering (the 2024 Public Offering) and issued (a) 11,916,667 shares of common stock, which included 1,750,000 shares issued upon the exercise in full by our underwriters of their option to purchase additional shares of common stock, at a public offering price of $15.00 per share, and (b) pre-funded warrants to purchase 1,500,100 shares of our common stock (the 2024 Pre-Funded Warrants) at a public offering price of $14.999 per pre-funded warrant, which represents the per share public offering price for the common stock less a $0.001 per share exercise price for each pre-funded warrant. The net proceeds from this offering were approximately $188.7 million, after deducting underwriting discounts and commissions and offering expenses. As of August 31, 2025, a total of 1,480,349 of the 2024 Pre-Funded Warrants remained available for exercise.</w:t>
      </w:r>
    </w:p>
    <w:p>
      <w:pPr>
        <w:spacing w:after="0" w:line="60"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All issued pre-funded warrants were immediately exercisable, have an exercise price of $0.001 and may be exercised at any time after the date of issuance. A holder of the pre-funded warrants may not exercise the warrant if the holder, together with its affiliates, would beneficially own more than</w:t>
      </w:r>
    </w:p>
    <w:p>
      <w:pPr>
        <w:ind w:right="40"/>
        <w:spacing w:after="0" w:line="245" w:lineRule="auto"/>
        <w:rPr>
          <w:sz w:val="20"/>
          <w:szCs w:val="20"/>
          <w:color w:val="auto"/>
        </w:rPr>
      </w:pPr>
      <w:r>
        <w:rPr>
          <w:rFonts w:ascii="Times New Roman" w:cs="Times New Roman" w:eastAsia="Times New Roman" w:hAnsi="Times New Roman"/>
          <w:sz w:val="18"/>
          <w:szCs w:val="18"/>
          <w:color w:val="auto"/>
        </w:rPr>
        <w:t>9.99% of the number of shares of our common stock outstanding immediately after giving effect to such exercise. A holder of the pre-funded warrants may increase or decrease this percentage not in excess of 19.99% by providing us at least 61 days’ prior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ind w:right="220" w:firstLine="648"/>
        <w:spacing w:after="0" w:line="258" w:lineRule="auto"/>
        <w:rPr>
          <w:sz w:val="20"/>
          <w:szCs w:val="20"/>
          <w:color w:val="auto"/>
        </w:rPr>
      </w:pPr>
      <w:r>
        <w:rPr>
          <w:rFonts w:ascii="Times New Roman" w:cs="Times New Roman" w:eastAsia="Times New Roman" w:hAnsi="Times New Roman"/>
          <w:sz w:val="18"/>
          <w:szCs w:val="18"/>
          <w:color w:val="auto"/>
        </w:rPr>
        <w:t>As of August 31, 2025, our operations have primarily been funded through the net proceeds from equity offerings of $1.1 billion and proceeds from collaborations of $482.0 million. We do not have any products approved for sale, and we have not generated any revenue from product sales. As of August 31, 2025, we had $428.8 million in cash, cash equivalents and marketable securities.</w:t>
      </w:r>
    </w:p>
    <w:p>
      <w:pPr>
        <w:spacing w:after="0" w:line="61"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are sufficient to meet our cash requirements and continue operating activities, including the clinical trials of our drug candidates bexobrutideg (NX-5948), zelebrudomide (NX-2127) and NX-1607 and the expansion of our intellectual property portfolio and infrastructure,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spacing w:after="0" w:line="71"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In the long term, our ability to support our working capital and capital expenditure requirements will depend on many factors, including the following:</w:t>
      </w:r>
    </w:p>
    <w:p>
      <w:pPr>
        <w:spacing w:after="0" w:line="54" w:lineRule="exact"/>
        <w:rPr>
          <w:sz w:val="20"/>
          <w:szCs w:val="20"/>
          <w:color w:val="auto"/>
        </w:rPr>
      </w:pPr>
    </w:p>
    <w:p>
      <w:pPr>
        <w:ind w:left="980" w:right="12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Phase 1 clinical trials for our lead drug candidates bexobrutideg, zelebrudomide and NX-1607, and any future clinical development of such drug candidates;</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other drug candidates and development programs;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drug candidates that we pursue;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advancements to our DEL-AI platform;</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Gilead, Sanofi, Pfizer and any other collaborations we may establish;</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100" w:hanging="324"/>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drug candidates for which we receive marketing approval;</w:t>
      </w:r>
    </w:p>
    <w:p>
      <w:pPr>
        <w:spacing w:after="0" w:line="103"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67"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54"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We considered whether there are conditions or events that raise substantial doubt about our ability to continue as a going concern and evaluated the funds necessary to maintain operations. Additionally, we may be required to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87"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7"/>
          <w:szCs w:val="17"/>
          <w:color w:val="auto"/>
        </w:rPr>
        <w:t>Our contractual obligations mostly consist of our operating lease obligations for facilities in San Francisco, California, The Woodlands, Texas and Brisbane, California. Our total operating lease commitments as of August 31, 2025, were approximately $84.2 million, of which $5.7 million is expected to be paid within the next 12 months. 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spacing w:after="0" w:line="52" w:lineRule="exact"/>
        <w:rPr>
          <w:sz w:val="20"/>
          <w:szCs w:val="20"/>
          <w:color w:val="auto"/>
        </w:rPr>
      </w:pPr>
    </w:p>
    <w:p>
      <w:pPr>
        <w:ind w:right="260" w:firstLine="648"/>
        <w:spacing w:after="0" w:line="280"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cash flows are summarized as follows (in thousands):</w:t>
      </w:r>
    </w:p>
    <w:p>
      <w:pPr>
        <w:spacing w:after="0" w:line="43"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9"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33020</wp:posOffset>
            </wp:positionV>
            <wp:extent cx="20745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(123,833)</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(116,896)</w:t>
            </w: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285,146</w:t>
            </w: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44,417</w:t>
            </w: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was $181.6 million for the nine months ended August 31, 2025, and consisted of a net loss of $186.2 million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 increase in net assets of $30.0 million, offset by non-cash adjustments of $34.6 million. The increase in net assets consisted of a decrease in deferred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of $23.4 million as we increased effort in our programs and recognized revenue, a decrease in operating lease liabilities of $4.3 million due to lease</w:t>
      </w:r>
    </w:p>
    <w:p>
      <w:pPr>
        <w:spacing w:after="0" w:line="234" w:lineRule="auto"/>
        <w:rPr>
          <w:sz w:val="20"/>
          <w:szCs w:val="20"/>
          <w:color w:val="auto"/>
        </w:rPr>
      </w:pPr>
      <w:r>
        <w:rPr>
          <w:rFonts w:ascii="Times New Roman" w:cs="Times New Roman" w:eastAsia="Times New Roman" w:hAnsi="Times New Roman"/>
          <w:sz w:val="18"/>
          <w:szCs w:val="18"/>
          <w:color w:val="auto"/>
        </w:rPr>
        <w:t>payments made during the period, a decrease in accounts payable of $3.7 million from payments to vendors, an increase in prepaid and other assets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 million primarily due to security deposit payments related to the Brisbane Lease, offset by an increase in accrued expenses and other accrued liabilities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$6.3 million primarily due to the accrual of costs related to our clinical trials. Non-cash adjustments primarily consisted of stock-based compensation</w:t>
      </w:r>
    </w:p>
    <w:p>
      <w:pPr>
        <w:spacing w:after="0" w:line="234" w:lineRule="auto"/>
        <w:rPr>
          <w:sz w:val="20"/>
          <w:szCs w:val="20"/>
          <w:color w:val="auto"/>
        </w:rPr>
      </w:pPr>
      <w:r>
        <w:rPr>
          <w:rFonts w:ascii="Times New Roman" w:cs="Times New Roman" w:eastAsia="Times New Roman" w:hAnsi="Times New Roman"/>
          <w:sz w:val="18"/>
          <w:szCs w:val="18"/>
          <w:color w:val="auto"/>
        </w:rPr>
        <w:t>expenses of $28.9 million, depreciation and amortization expenses of $6.6 million and amortization of operating lease right-of-use (ROU) assets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 million, offset by net accretion of discount on marketable securities of $8.5 million.</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Net cash used in operating activities was $123.8 million for the nine months ended August 31, 2024, and consisted of a net loss of $135.0 million and an increase in net assets of $18.9 million, offset by non-cash adjustments of $30.0 million. The increase in net assets consisted of a decrease in deferred revenue of $15.3 million as we increased effort in our programs and recognized revenue, a decrease in operating lease liabilities of $4.8 million due to lease payments made during the period, a decrease in accounts payable of $2.4 million from payments to vendors, offset by an increase in accrued expenses and other liabilities of $2.8 million primarily due to the accrual of compensation and other related personnel costs and costs related to our clinical trials and a decrease in prepaid and other assets of $0.8 million primarily due to the recognition of expenses for prepaid services. Non-cash adjustments primarily consisted of stock-based compensation expenses of $25.4 million, depreciation and amortization expenses of $6.8 million and amortization of operating lease ROU assets of $5.4 million, offset by net accretion of discount on marketable securities of $7.8 million.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Net cash provided by investing activities was $147.5 million for the nine months ended August 31, 2025, and primarily consisted of the maturity of marketable securities of $437.7 million, partially offset by the purchase of marketable securities of $281.4 million and the purchase of property and equipment of $8.9 million.</w:t>
      </w:r>
    </w:p>
    <w:p>
      <w:pPr>
        <w:spacing w:after="0" w:line="8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$116.9 million for the nine months ended August 31, 2024 and primarily consisted of the purchase of marketable securities of $409.7 million, partially offset by the maturity of marketable securities of $300.0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$2.6 million for the nine months ended August 31, 2025, and consisted primarily of proceeds from the issuance of common stock under our Employee Stock Purchase Plan.</w:t>
      </w:r>
    </w:p>
    <w:p>
      <w:pPr>
        <w:spacing w:after="0" w:line="4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$285.1 million for the nine months ended August 31, 2024, and consisted primarily of net proceeds from our 2024 Public Offering, the May 2024 ATM Financing and the August 2024 ATM Financing.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market risks, as of August 31, 2025, have not changed materially from those discussed in “Item 7A. Quantitative and Qualitative Disclosures About Market Risk” of Part II of our Annual Report on Form 10-K for the year ended November 30, 2024, filed with the SEC on January 28,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our Chief Financial Officer, our principal executive officer and principal accounting and financial officer, respectively, have evaluated the effectiveness of our disclosure controls and procedures (as defined in Rules 13a-15(e) and 15d-15(e) under the Securities Exchange Act of 1934, as amended (the Exchange Act) as of August 31, 2025.</w:t>
      </w:r>
    </w:p>
    <w:p>
      <w:pPr>
        <w:spacing w:after="0" w:line="82"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President and Chief Executive Officer and our Chief Financial Officer, to allow timely decisions regarding required disclosure. Based on their evaluation, the Chief Executive Officer and Chief Financial Officer have concluded that our disclosure controls and procedures were effective as of August 31,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three months ended August 31, 2025, that have materially affected, or are reasonably likely to materially affect, our internal control over financial reporting.</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or condensed financial statements. Regardless of outcome, litigation can have an adverse impact on us due to defense and settlement costs, diversion of management resources, negative publicity and reputational harm and other factors.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all of the other information contained in this Quarterly Report on Form 10-Q, including our condensed financial statements and related notes and the section titled “Management’s Discussion and Analysis of Financial Condition and Results of Operations.” We cannot assure you that any of the events described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results of operations, and future prospects could be materially and adversely affected. In that event, the trading price of our common stock could decline, and you could lose all or part of your investment.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at least the next several years and may never achieve or maintain profitability.</w:t>
      </w:r>
    </w:p>
    <w:p>
      <w:pPr>
        <w:spacing w:after="0" w:line="51"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Our net loss was $193.6 million for the fiscal year ended November 30, 2024, and $186.2 million for the nine months ended August 31, 2025. As of August 31, 2025, we had an accumulated deficit of $925.0 million. To date, we have not generated any revenue from product sales and have financed our operations primarily through our collaborations and sales of our equity interests. We are in the early stages of development of our drug candidates. Our lead drug candidates, bexobrutideg (NX-5948), zelebrudomide (NX-2127) and NX-1607, are in the early stages of clinical development. We expect to continue to incur significant expenses and increasing operating losses for at least the next several years. We anticipate that our operating expenses and capital expenditure requirements will increase substantially if and as we:</w:t>
      </w:r>
    </w:p>
    <w:p>
      <w:pPr>
        <w:spacing w:after="0" w:line="87"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enrollment in and further develop our drug candidates bexobrutideg, zelebrudomide and NX-1607 through Phase 1 clinical trials;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investigational new drug applications (INDs) and initiate clinical trials of our other drug candidates;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advanced clinical development and scale up external manufacturing capabilities to supply clinical trials;</w:t>
      </w:r>
    </w:p>
    <w:p>
      <w:pPr>
        <w:spacing w:after="0" w:line="117"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capabilities of our DEL-AI platform and apply our DEL-AI platform to advance additional drug candidates into preclinical and clinical development;</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process development for manufacturing of our drug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drug candidates that successfully complete clinical trials;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for negotiations with the pricing authorities and submission to the health technology appraisal (HTA) bodies;</w:t>
      </w:r>
    </w:p>
    <w:p>
      <w:pPr>
        <w:spacing w:after="0" w:line="103"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and scale up external manufacturing capabilities to commercialize any drug candidates for which we may obtain marketing approval;</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maintain and protect our intellectual property portfolio;</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manufacturing, quality assurance and scientific personnel; and</w:t>
      </w:r>
    </w:p>
    <w:p>
      <w:pPr>
        <w:spacing w:after="0" w:line="117" w:lineRule="exact"/>
        <w:rPr>
          <w:rFonts w:ascii="Times New Roman" w:cs="Times New Roman" w:eastAsia="Times New Roman" w:hAnsi="Times New Roman"/>
          <w:sz w:val="18"/>
          <w:szCs w:val="18"/>
          <w:color w:val="auto"/>
        </w:rPr>
      </w:pPr>
    </w:p>
    <w:p>
      <w:pPr>
        <w:ind w:left="980" w:right="500" w:hanging="324"/>
        <w:spacing w:after="0" w:line="26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to support our research, product development and future commercialization efforts and support our operations as a public company.</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Our expenses could increase beyond our expectations if we are required by the U.S. Food and Drug Administration (FDA), the European</w:t>
      </w:r>
    </w:p>
    <w:p>
      <w:pPr>
        <w:spacing w:after="0" w:line="2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w:t>
      </w:r>
    </w:p>
    <w:p>
      <w:pPr>
        <w:spacing w:after="0" w:line="121"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7"/>
          <w:szCs w:val="17"/>
          <w:color w:val="auto"/>
        </w:rPr>
        <w:t>We are in the early stages of clinical development of our lead drug candidates bexobrutideg (NX-5948), zelebrudomide (NX-2127) and NX-1607.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w:t>
      </w:r>
    </w:p>
    <w:p>
      <w:pPr>
        <w:spacing w:after="0" w:line="5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spacing w:after="0" w:line="16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5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conduct our Phase 1 clinical trials of bexobrutideg (NX-5948), zelebrudomide (NX-2127) and NX-1607 and any future development of our drug candidates, grow our pipeline of drug candidates, expand the breadth of our DEL-AI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w:t>
      </w:r>
    </w:p>
    <w:p>
      <w:pPr>
        <w:spacing w:after="0" w:line="77" w:lineRule="exact"/>
        <w:rPr>
          <w:sz w:val="20"/>
          <w:szCs w:val="20"/>
          <w:color w:val="auto"/>
        </w:rPr>
      </w:pPr>
    </w:p>
    <w:p>
      <w:pPr>
        <w:ind w:right="280" w:firstLine="648"/>
        <w:spacing w:after="0" w:line="247" w:lineRule="auto"/>
        <w:rPr>
          <w:sz w:val="20"/>
          <w:szCs w:val="20"/>
          <w:color w:val="auto"/>
        </w:rPr>
      </w:pPr>
      <w:r>
        <w:rPr>
          <w:rFonts w:ascii="Times New Roman" w:cs="Times New Roman" w:eastAsia="Times New Roman" w:hAnsi="Times New Roman"/>
          <w:sz w:val="18"/>
          <w:szCs w:val="18"/>
          <w:color w:val="auto"/>
        </w:rPr>
        <w:t>We had cash, cash equivalents and marketable securities of $428.8 million as of August 31, 2025. We believe that our existing cash, cash equivalents and marketable securities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w:t>
      </w:r>
    </w:p>
    <w:p>
      <w:pPr>
        <w:spacing w:after="0" w:line="72" w:lineRule="exact"/>
        <w:rPr>
          <w:sz w:val="20"/>
          <w:szCs w:val="20"/>
          <w:color w:val="auto"/>
        </w:rPr>
      </w:pPr>
    </w:p>
    <w:p>
      <w:pPr>
        <w:ind w:left="980" w:right="940" w:hanging="324"/>
        <w:spacing w:after="0" w:line="266"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Phase 1 clinical trials for bexobrutideg, zelebrudomide and NX-1607 and any future clinical development of such drug candidates;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other drug candidates and development programs;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drug candidates that we pursue;</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advancements to our DEL-AI platform;</w:t>
      </w:r>
    </w:p>
    <w:p>
      <w:pPr>
        <w:spacing w:after="0" w:line="103"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Gilead Sciences, Inc. (Gilead), Sanofi S.A. (Sanofi) and Seagen Inc. (now a part of Pfizer Inc. (Pfizer)) and any other collaborations we may establish;</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negotiations with pricing authorities and health technology assessment authorities;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8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drug candidates for which we receive marketing approval;</w:t>
      </w:r>
    </w:p>
    <w:p>
      <w:pPr>
        <w:spacing w:after="0" w:line="103"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67"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54"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w:t>
      </w:r>
    </w:p>
    <w:p>
      <w:pPr>
        <w:spacing w:after="0" w:line="1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5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Gilead, Sanofi and Pfizer,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holder of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7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to evaluate the success of our business to date and to assess our future viability.</w:t>
      </w:r>
    </w:p>
    <w:p>
      <w:pPr>
        <w:spacing w:after="0" w:line="12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establishing arrangements with third parties for the manufacture of initial quantities of our drug candidates and conducting early-stage clinical trials. Our lead drug candidates are in the early stages of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92" w:lineRule="exact"/>
        <w:rPr>
          <w:sz w:val="20"/>
          <w:szCs w:val="20"/>
          <w:color w:val="auto"/>
        </w:rPr>
      </w:pPr>
    </w:p>
    <w:p>
      <w:pPr>
        <w:jc w:val="both"/>
        <w:ind w:right="100" w:firstLine="648"/>
        <w:spacing w:after="0" w:line="250" w:lineRule="auto"/>
        <w:rPr>
          <w:sz w:val="20"/>
          <w:szCs w:val="20"/>
          <w:color w:val="auto"/>
        </w:rPr>
      </w:pPr>
      <w:r>
        <w:rPr>
          <w:rFonts w:ascii="Times New Roman" w:cs="Times New Roman" w:eastAsia="Times New Roman" w:hAnsi="Times New Roman"/>
          <w:sz w:val="18"/>
          <w:szCs w:val="18"/>
          <w:color w:val="auto"/>
        </w:rPr>
        <w:t>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82"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Drug Candidates</w:t>
      </w:r>
    </w:p>
    <w:p>
      <w:pPr>
        <w:spacing w:after="0" w:line="117"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Our lead drug candidates, bexobrutideg (NX-5948), zelebrudomide (NX-2127) and NX-1607,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67"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We are early in our development efforts. Our lead drug candidates, bexobrutideg (NX-5948), zelebrudomide (NX-2127) and NX-1607, are in the early stages of clinical development and their risk of failure is high. We have invested substantially all of our efforts and financial resources in building our DEL-AI platform, in the identification and preclinical development of our current drug candidates and in the preparation for and initiation of Phase 1 clinical trials for our lead drug candidates, as well as the preparation to advance bexobrutideg into a Phase 2 clinical trial, anticipated in 2025.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w:t>
      </w:r>
    </w:p>
    <w:p>
      <w:pPr>
        <w:spacing w:after="0" w:line="73"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submission of INDs or Clinical Trial Applications and initiation of clinical trials;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completion of, clinical trials;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approvals from applicable regulatory authorities;</w:t>
      </w:r>
    </w:p>
    <w:p>
      <w:pPr>
        <w:spacing w:after="0" w:line="103"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drug candidates as well as obtaining relevant exclusivity extensions (due to the conduct of pediatric studies);</w:t>
      </w:r>
    </w:p>
    <w:p>
      <w:pPr>
        <w:spacing w:after="0" w:line="67"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drug candidates;</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therapeutic properties for our drug candidates’ intended indications;</w:t>
      </w:r>
    </w:p>
    <w:p>
      <w:pPr>
        <w:spacing w:after="0" w:line="117" w:lineRule="exact"/>
        <w:rPr>
          <w:rFonts w:ascii="Times New Roman" w:cs="Times New Roman" w:eastAsia="Times New Roman" w:hAnsi="Times New Roman"/>
          <w:sz w:val="18"/>
          <w:szCs w:val="18"/>
          <w:color w:val="auto"/>
        </w:rPr>
      </w:pPr>
    </w:p>
    <w:p>
      <w:pPr>
        <w:ind w:left="980" w:right="340" w:hanging="324"/>
        <w:spacing w:after="0" w:line="266"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continued acceptable safety profile of our drug candidates and maintaining such a profile following approval; and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w:t>
      </w:r>
    </w:p>
    <w:p>
      <w:pPr>
        <w:spacing w:after="0" w:line="82"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In addition, we filed for and received an Innovation Passport designation for NX-1607 in the United Kingdom (UK) in February 2022. The Innovation Passport is the mandated entry point to the Innovative Licensing and Access Pathway (ILAP) in the UK to facilitate approval of and market access to an innovative medicine. Grant of the Innovation Passport paves the way for enhanced engagement with key stakeholders such as the Medicines and Healthcare products Regulatory Agency (MHRA), health technology agencies in the UK such as the National Institute for Health and Care Excellence or the Scottish Medicines Consortium and NHS England. However, although the goal of ILAP and the Innovation Passport is to reduce the time to market and enable earlier patient access, they do not accelerate conduct of clinical trials or mean that the regulatory requirements are less stringent, nor do they ensure that any NX-1607 marketing authorization application (MAA) will be approved or that any approval will be granted within any particular timeframe. Despite receiving an Innovation Passport designation, we may decide to delay or forego the commercialization of NX-1607 in the UK or the development may otherwise not proceed.</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of our approaches to the discovery and development of drug candidates based on our targeted protein degradation platform is unproven, which makes it difficult to predict the time, cost of development and likelihood of successfully developing any products.</w:t>
      </w:r>
    </w:p>
    <w:p>
      <w:pPr>
        <w:spacing w:after="0" w:line="5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Treating diseases using targeted protein degradation is a new treatment modality. Our future success depends on the successful development of this novel therapeutic approach. Very few small molecule drug candidates designed to control cellular protein levels, such as our BTK degraders, have been tested in humans, none have been approved in the United States or Europe, and the data underlying the feasibility of developing these therapeutic products is both preliminary and limited. Discovery and development of targeted protein degraders that harness ligases to degrade protein targets have been impeded largely by the complexities and limited understanding of the functions, biochemistry and structural biology of E3 ligases as well as by challenges of engineering compounds that promote protein-protein interactions.</w:t>
      </w:r>
    </w:p>
    <w:p>
      <w:pPr>
        <w:spacing w:after="0" w:line="7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believe that our targeted protein degrader drug candidates may offer an improved therapeutic approach by removing the disease-causing proteins instead of simply inhibiting their activities. However, the scientific research that forms the basis of our efforts to develop our targeted protein degrader drug candidates is ongoing and the scientific evidence to support the feasibility of developing targeted protein degrader-based therapeutic treatments is both preliminary and limited. Further, certain patients have shown inherent (primary) resistance to approved BTK inhibitors and other patients have developed acquired (secondary) resistance to these inhibitors. Both bexobrutideg (NX-5948) and zelebrudomide (NX-2127) degrade BTK with mutations that confer resistance to currently marketed BTK inhibitors, and we believe that preliminary data from our ongoing Phase 1 trials of bexobrutideg and zelebrudomide may provide evidence of clinical benefit to patients with such resistance mutations. However, any inherent primary or acquired secondary resistance to our BTK degraders in patients would prevent or diminish their clinical benefit.</w:t>
      </w:r>
    </w:p>
    <w:p>
      <w:pPr>
        <w:spacing w:after="0" w:line="92" w:lineRule="exact"/>
        <w:rPr>
          <w:sz w:val="20"/>
          <w:szCs w:val="20"/>
          <w:color w:val="auto"/>
        </w:rPr>
      </w:pPr>
    </w:p>
    <w:p>
      <w:pPr>
        <w:jc w:val="both"/>
        <w:ind w:right="180" w:firstLine="648"/>
        <w:spacing w:after="0" w:line="270" w:lineRule="auto"/>
        <w:rPr>
          <w:sz w:val="20"/>
          <w:szCs w:val="20"/>
          <w:color w:val="auto"/>
        </w:rPr>
      </w:pPr>
      <w:r>
        <w:rPr>
          <w:rFonts w:ascii="Times New Roman" w:cs="Times New Roman" w:eastAsia="Times New Roman" w:hAnsi="Times New Roman"/>
          <w:sz w:val="17"/>
          <w:szCs w:val="17"/>
          <w:color w:val="auto"/>
        </w:rPr>
        <w:t>We are in the early stages of clinical development of bexobrutideg and zelebrudomide and we currently have limited safety data of bexobrutideg and zelebrudomide in humans. Although some of our drug candidates have produced observable results in animal studies,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spacing w:after="0" w:line="52"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targeted protein degrader drug candidate development, and we cannot predict whether targeted protein degradation will result in the development and marketing approval of any products. Any development problems we experience in the future related to any of our targeted protein degrader research programs may cause significant delays or unanticipated costs or may prevent the development of a commercially viable product. Advancing our targeted protein degrader drug candidates creates significant challenges for us, including:</w:t>
      </w:r>
    </w:p>
    <w:p>
      <w:pPr>
        <w:spacing w:after="0" w:line="73" w:lineRule="exact"/>
        <w:rPr>
          <w:sz w:val="20"/>
          <w:szCs w:val="20"/>
          <w:color w:val="auto"/>
        </w:rPr>
      </w:pPr>
    </w:p>
    <w:p>
      <w:pPr>
        <w:ind w:left="980" w:right="72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efficacy and safety benefits, as well as the challenges, of incorporating our drug candidates, if approved, into treatment regimens; and</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sales and marketing capabilities to gain market acceptance, if approved.</w:t>
      </w:r>
    </w:p>
    <w:p>
      <w:pPr>
        <w:spacing w:after="0" w:line="10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Any of these factors may prevent us from completing our preclinical studies or any clinical trials that we may initiate, or from commercializing any targeted protein degrader drug candidates we may develop on a timely or profitable basis, if at all.</w:t>
      </w:r>
    </w:p>
    <w:p>
      <w:pPr>
        <w:spacing w:after="0" w:line="40"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Drug development is a lengthy and expensive process, with an uncertain outcome. We may incur unexpected costs or experience delays in completing, or ultimately be unable to complete, the development and commercialization of our drug candidates.</w:t>
      </w:r>
    </w:p>
    <w:p>
      <w:pPr>
        <w:spacing w:after="0" w:line="68"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Our lead drug candidates are in the early stages of 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any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larger registration clinical trials. Additionally, the outcome of preclinical studies and early-stage clinical trials may not be predictive of the success of later-stage clinical trials.</w:t>
      </w:r>
    </w:p>
    <w:p>
      <w:pPr>
        <w:spacing w:after="0" w:line="7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drug candidates, including:</w:t>
      </w:r>
    </w:p>
    <w:p>
      <w:pPr>
        <w:spacing w:after="0" w:line="40"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may fail to reach, a consensus with regulators on trial design;</w:t>
      </w:r>
    </w:p>
    <w:p>
      <w:pPr>
        <w:spacing w:after="0" w:line="103" w:lineRule="exact"/>
        <w:rPr>
          <w:rFonts w:ascii="Times New Roman" w:cs="Times New Roman" w:eastAsia="Times New Roman" w:hAnsi="Times New Roman"/>
          <w:sz w:val="18"/>
          <w:szCs w:val="18"/>
          <w:color w:val="auto"/>
        </w:rPr>
      </w:pPr>
    </w:p>
    <w:p>
      <w:pPr>
        <w:jc w:val="both"/>
        <w:ind w:left="980" w:right="200" w:hanging="324"/>
        <w:spacing w:after="0" w:line="258"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w:t>
      </w:r>
    </w:p>
    <w:p>
      <w:pPr>
        <w:spacing w:after="0" w:line="61"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may fail to reach, agreement on acceptable clinical trial contracts or clinical trial protocols with prospective trial sites;</w:t>
      </w:r>
    </w:p>
    <w:p>
      <w:pPr>
        <w:spacing w:after="0" w:line="40"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not authorize us or our investigators to commence a clinical trial or conduct a clinical trial at a prospective trial site;</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of our clinical trials;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delays under human tissue act legislation and restrictions across various jurisdictions;</w:t>
      </w:r>
    </w:p>
    <w:p>
      <w:pPr>
        <w:spacing w:after="0" w:line="103"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difficulty in designing clinical trials and in selecting endpoints for diseases that have not been well-studied and for which the natural history and course of the disease is poorly understood;</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certain clinical endpoints may require prolonged periods of clinical observation or analysis of the resulting data;</w:t>
      </w:r>
    </w:p>
    <w:p>
      <w:pPr>
        <w:spacing w:after="0" w:line="103"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enrollment in these clinical trials may be slower than we anticipate or participants may drop out of these clinical trials at a higher rate than we anticipate;</w:t>
      </w:r>
    </w:p>
    <w:p>
      <w:pPr>
        <w:spacing w:after="0" w:line="40"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have undesirable side effects or other unexpected characteristics, causing us or our investigators, regulators or IRBs to suspend or terminate the trials;</w:t>
      </w:r>
    </w:p>
    <w:p>
      <w:pPr>
        <w:spacing w:after="0" w:line="67"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w:t>
      </w:r>
    </w:p>
    <w:p>
      <w:pPr>
        <w:spacing w:after="0" w:line="82"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4"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that we or our investigators suspend or terminate clinical trials for various reasons, including noncompliance with regulatory requirements;</w:t>
      </w:r>
    </w:p>
    <w:p>
      <w:pPr>
        <w:spacing w:after="0" w:line="67" w:lineRule="exact"/>
        <w:rPr>
          <w:rFonts w:ascii="Times New Roman" w:cs="Times New Roman" w:eastAsia="Times New Roman" w:hAnsi="Times New Roman"/>
          <w:sz w:val="18"/>
          <w:szCs w:val="18"/>
          <w:color w:val="auto"/>
        </w:rPr>
      </w:pPr>
    </w:p>
    <w:p>
      <w:pPr>
        <w:ind w:left="980" w:right="560" w:hanging="324"/>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regulators may require us, to conduct additional clinical trials or abandon product development programs;</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drug candidates may be greater than we anticipate;</w:t>
      </w:r>
    </w:p>
    <w:p>
      <w:pPr>
        <w:spacing w:after="0" w:line="117"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drug candidates, or such requirements may not be as we anticipate;</w:t>
      </w:r>
    </w:p>
    <w:p>
      <w:pPr>
        <w:spacing w:after="0" w:line="117"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also conduct clinical trials in ways they view as advantageous to them but that are suboptimal for us; and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200" w:hanging="324"/>
        <w:spacing w:after="0" w:line="26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macroeconomic, political and market conditions, including supply chain disruptions, may increase the likelihood that we encounter such difficulties or delays in initiating, enrolling, conducting or completing our planned and ongoing clinical trials.</w:t>
      </w:r>
    </w:p>
    <w:p>
      <w:pPr>
        <w:spacing w:after="0" w:line="68"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safety and efficacy sufficient to obtain marketing approval for our drug candidates.</w:t>
      </w:r>
    </w:p>
    <w:p>
      <w:pPr>
        <w:spacing w:after="0" w:line="6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61"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drug candidates;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 changes in the way the product is administered; 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04"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18"/>
          <w:szCs w:val="18"/>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w:t>
      </w:r>
    </w:p>
    <w:p>
      <w:pPr>
        <w:spacing w:after="0" w:line="8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was ineffective. Our current and planned clinical trials for our drug candidates bexobrutideg, zelebrudomide and NX-1607 are and will be with patients who have received one or more prior treatments. Subsequently, for those drug candidates that prove to be sufficiently beneficial, if any, we may seek approval potentially as a first-line therapy, but any drug candidates we develop, even if approved, may not be approved for first-line therapy, and, prior to any such approvals, we may have to conduct additional clinical trials.</w:t>
      </w:r>
    </w:p>
    <w:p>
      <w:pPr>
        <w:spacing w:after="0" w:line="18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51"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We have recently begun to evaluate our lead drug candidates in human clinical trials, and there have been very few clinical trials to date involving small molecule drug candidates designed to control cellular protein levels through targeted protein degradation. It is impossible to predict when or if any drug candidates we may develop will prove safe in humans. There is a limited safety data set for the effects of bexobrutideg (NX-5948), zelebrudomide (NX-2127) and NX-1607 in animals and we only recently have begun to test the safety of our drug candidates in humans. There can be no assurance that our current drug candidates or any future drug candidate will not cause undesirable side effects. Unforeseen side effects from our drug candidates could arise at any time during preclinical or clinical development.</w:t>
      </w:r>
    </w:p>
    <w:p>
      <w:pPr>
        <w:spacing w:after="0" w:line="72" w:lineRule="exact"/>
        <w:rPr>
          <w:sz w:val="20"/>
          <w:szCs w:val="20"/>
          <w:color w:val="auto"/>
        </w:rPr>
      </w:pPr>
    </w:p>
    <w:p>
      <w:pPr>
        <w:jc w:val="both"/>
        <w:ind w:right="340" w:firstLine="648"/>
        <w:spacing w:after="0" w:line="250" w:lineRule="auto"/>
        <w:rPr>
          <w:sz w:val="20"/>
          <w:szCs w:val="20"/>
          <w:color w:val="auto"/>
        </w:rPr>
      </w:pPr>
      <w:r>
        <w:rPr>
          <w:rFonts w:ascii="Times New Roman" w:cs="Times New Roman" w:eastAsia="Times New Roman" w:hAnsi="Times New Roman"/>
          <w:sz w:val="18"/>
          <w:szCs w:val="18"/>
          <w:color w:val="auto"/>
        </w:rPr>
        <w:t>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by our drug candidates in any of our current or future preclinical studies or clinical trials. There also is the potential risk of delayed adverse events following treatment with our drug candidates.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If any drug candidates we develop are associated with serious adverse events or undesirable side effects, or have characteristics that are unexpected, including in preclinical studies,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For example, increased bleeding risk and cardiac arrhythmia such as atrial fibrillation have been reported side effects of approved BTK inhibitors. Furthermore,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w:t>
      </w:r>
    </w:p>
    <w:p>
      <w:pPr>
        <w:spacing w:after="0" w:line="18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early-stage clinical trials may not be predictive of future results. Initial success in clinical trials may not be indicative of results obtained in later-stage trials or when these trials are completed.</w:t>
      </w:r>
    </w:p>
    <w:p>
      <w:pPr>
        <w:spacing w:after="0" w:line="51"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early-stage clinical trials we commence may not be predictive of the results of the later-stage clinical trials or when these trials are completed. In addition, initial success in clinical trials may not be indicative of results obtained when such trials are completed. In particular, the small number of patients in our planned early clinical trials may make the results of these trials less predictive of the outcomes of later clinical trials. For example, even if successful, the results of our initial clinical trials for bexobrutideg (NX-5948), zelebrudomide (NX-2127) and NX-1607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and clinical trials. Any such setbacks in our clinical development could materially harm our business, results of operations, financial condition and prospects.</w:t>
      </w:r>
    </w:p>
    <w:p>
      <w:pPr>
        <w:spacing w:after="0" w:line="19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planned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business, results of operations, financial condition and prospects.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experience delays or difficulties in enrolling patients in clinical trials, our receipt of necessary marketing approvals could be delayed or prevented.</w:t>
      </w:r>
    </w:p>
    <w:p>
      <w:pPr>
        <w:spacing w:after="0" w:line="13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we are currently conducting Phase 1 clinical trials for each of our lead drug candidates, bexobrutideg (NX-5948), zelebrudomide (NX-2127) and NX-1607, and we expect to initiate a Phase 2 clinical trial of bexobrutideg in 2025. We cannot predict how difficult it will be to enroll patients for these trials. Therefore, our ability to identify and enroll eligible patients for our bexobrutideg, zelebrudomide and NX-1607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is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w:t>
      </w:r>
    </w:p>
    <w:p>
      <w:pPr>
        <w:spacing w:after="0" w:line="9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efficacy of approved medications for the disease under investigation;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drug candidates under study;</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attitudes and practices with respect to clinical trial enrollment;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on patients due to inconvenient procedures;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w:t>
      </w:r>
    </w:p>
    <w:p>
      <w:pPr>
        <w:spacing w:after="0" w:line="18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5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we and our third-party manufacturers are early in our manufacturing efforts.</w:t>
      </w:r>
    </w:p>
    <w:p>
      <w:pPr>
        <w:spacing w:after="0" w:line="12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We have established manufacturing relationships with a limited number of suppliers to manufacture raw materials and the drug substance of any drug candidate for which we are currently pursuing, or may in the future pursue, preclinical or clinical development. Our systems for complying with current good manufacturing practices (cGMPs), manufacturing process development with our third-party manufacturers and scale-up are at an early stage. The actual cost to manufacture and process our drug candidates could be greater than we expect and could materially and adversely affect the commercial viability of our drug candidates. We or any of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we or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 For example, in October 2023, following our communication to the FDA of our intention to transition to an improved manufacturing process for zelebrudomide (NX-2127), the FDA placed a partial clinical hold on our ongoing Phase 1 clinical trial evaluating zelebrudomide. We actively engaged in discussions with FDA as part of our efforts to lift the partial clinical hold, and in March 2024, the FDA lifted the partial clinical hold. There can be no assurance that we can address any issues resulting in any partial or full clinical hold in a timely manner or at all, and we may incur additional expenses in connection with our efforts to address a partial or full clinical hold or advance our clinical programs.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potential drug candidates.</w:t>
      </w:r>
    </w:p>
    <w:p>
      <w:pPr>
        <w:spacing w:after="0" w:line="121"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A key element of our strategy is to apply our DEL-AI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w:t>
      </w:r>
    </w:p>
    <w:p>
      <w:pPr>
        <w:spacing w:after="0" w:line="86" w:lineRule="exact"/>
        <w:rPr>
          <w:sz w:val="20"/>
          <w:szCs w:val="20"/>
          <w:color w:val="auto"/>
        </w:rPr>
      </w:pPr>
    </w:p>
    <w:p>
      <w:pPr>
        <w:ind w:left="5540" w:right="3460" w:hanging="4884"/>
        <w:spacing w:after="0" w:line="970" w:lineRule="auto"/>
        <w:tabs>
          <w:tab w:leader="none" w:pos="98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drug candidates;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-351155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520" w:hanging="324"/>
        <w:spacing w:after="0" w:line="266"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drug candidates may, on further study, be shown to have harmful side effects or other characteristics that indicate that they are unlikely to be drugs that will receive marketing approval or achieve market acceptance; or</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drug candidates may not be effective in treating their targeted diseases.</w:t>
      </w:r>
    </w:p>
    <w:p>
      <w:pPr>
        <w:spacing w:after="0" w:line="104" w:lineRule="exact"/>
        <w:rPr>
          <w:sz w:val="20"/>
          <w:szCs w:val="20"/>
          <w:color w:val="auto"/>
        </w:rPr>
      </w:pPr>
    </w:p>
    <w:p>
      <w:pPr>
        <w:ind w:right="420" w:firstLine="648"/>
        <w:spacing w:after="0" w:line="250" w:lineRule="auto"/>
        <w:rPr>
          <w:sz w:val="20"/>
          <w:szCs w:val="20"/>
          <w:color w:val="auto"/>
        </w:rPr>
      </w:pPr>
      <w:r>
        <w:rPr>
          <w:rFonts w:ascii="Times New Roman" w:cs="Times New Roman" w:eastAsia="Times New Roman" w:hAnsi="Times New Roman"/>
          <w:sz w:val="18"/>
          <w:szCs w:val="18"/>
          <w:color w:val="auto"/>
        </w:rPr>
        <w:t>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the breadth of our DEL-AI platform.</w:t>
      </w:r>
    </w:p>
    <w:p>
      <w:pPr>
        <w:spacing w:after="0" w:line="121"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A key element of our strategy is to expand the capabilities of our DEL-AI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DEL-AI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DEL-AI platform.</w:t>
      </w:r>
    </w:p>
    <w:p>
      <w:pPr>
        <w:spacing w:after="0" w:line="181"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an environment of rapid technological change, which may result in others discovering, developing or commercializing products before or more successfully than we do.</w:t>
      </w:r>
    </w:p>
    <w:p>
      <w:pPr>
        <w:spacing w:after="0" w:line="5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degradation, antibody therapy, adoptive cell therapy,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w:t>
      </w:r>
    </w:p>
    <w:p>
      <w:pPr>
        <w:spacing w:after="0" w:line="87"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We are aware of a number of biotechnology companies focused on developing small molecules that degrade target proteins or inhibit E3 ligases, many of which currently are in preclinical or clinical development. In addition, certain large pharmaceutical companies have disclosed investments in this field. Furthermore, we are aware of multiple other BTK degrader programs in clinical development.</w:t>
      </w:r>
    </w:p>
    <w:p>
      <w:pPr>
        <w:spacing w:after="0" w:line="8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Further,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All of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prevent us from obtaining the orphan designation in the European Union (EU) and/or in the UK and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expect and announce, the commercialization of our products may be delayed and, as a result, our stock price may decline.</w:t>
      </w:r>
    </w:p>
    <w:p>
      <w:pPr>
        <w:spacing w:after="0" w:line="5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third-party collaborators such as Gilead, Sanofi or Pfizer.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17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estimated market opportunities for our drug candidates are subject to numerous uncertainties and may prove to be inaccurate. If we have overestimated the size of our market opportunities, our future growth may be limited.</w:t>
      </w:r>
    </w:p>
    <w:p>
      <w:pPr>
        <w:spacing w:after="0" w:line="51" w:lineRule="exact"/>
        <w:rPr>
          <w:sz w:val="20"/>
          <w:szCs w:val="20"/>
          <w:color w:val="auto"/>
        </w:rPr>
      </w:pPr>
    </w:p>
    <w:p>
      <w:pPr>
        <w:jc w:val="both"/>
        <w:ind w:right="120" w:firstLine="648"/>
        <w:spacing w:after="0" w:line="262" w:lineRule="auto"/>
        <w:rPr>
          <w:sz w:val="20"/>
          <w:szCs w:val="20"/>
          <w:color w:val="auto"/>
        </w:rPr>
      </w:pPr>
      <w:r>
        <w:rPr>
          <w:rFonts w:ascii="Times New Roman" w:cs="Times New Roman" w:eastAsia="Times New Roman" w:hAnsi="Times New Roman"/>
          <w:sz w:val="17"/>
          <w:szCs w:val="17"/>
          <w:color w:val="auto"/>
        </w:rPr>
        <w:t>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inaccurate.</w:t>
      </w:r>
    </w:p>
    <w:p>
      <w:pPr>
        <w:spacing w:after="0" w:line="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Quarterly Report on Form 10-Q.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w:t>
      </w:r>
    </w:p>
    <w:p>
      <w:pPr>
        <w:spacing w:after="0" w:line="180"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biopharmaceutical industry is subject to extensive regulatory obligations and policies that are subject to change, including due to judicial challenges.</w:t>
      </w:r>
    </w:p>
    <w:p>
      <w:pPr>
        <w:spacing w:after="0" w:line="5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the FDA and other agencies with significant oversight of the biopharmaceutical industry. The new framework is likely to increase both the frequency of such challenges and their odds of success by eliminating one way in which the government previously prevailed in such cases. As a result, significant regulatory policies will be subject to increased litigation and judicial scrutiny.</w:t>
      </w:r>
    </w:p>
    <w:p>
      <w:pPr>
        <w:spacing w:after="0" w:line="7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Any resulting changes in regulation may result in unexpected delays, increased costs, or other negative impacts on our business that are difficult to predict but could have a material adverse effect on our business and financial condition. For example, certain of these changes could impose additional limitations on the rates we will be able to charge for our future products or the amounts of reimbursement available for our future products from governmental agencies or third-party payors.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Dependence on Third Parties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5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We have sought third-party collaborators for the research, development and commercialization of some of our targeted protein degrader programs. For example, in June 2019 we entered into a collaboration with Gilead; in December 2019 we entered into a collaboration with Sanofi, which was subsequently expanded and amended in January 2021; and in September 2023 we entered into a collaboration with Seagen Inc. (now a part of Pfizer). Each of the foregoing collaborations requires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Collaborations involving our research programs or any drug candidates we may develop, including our collaborations with Gilead, Sanofi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Pfizer, pose risks to us, including:</w:t>
      </w:r>
    </w:p>
    <w:p>
      <w:pPr>
        <w:spacing w:after="0" w:line="97"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 with us.</w:t>
      </w:r>
    </w:p>
    <w:p>
      <w:pPr>
        <w:spacing w:after="0" w:line="103" w:lineRule="exact"/>
        <w:rPr>
          <w:rFonts w:ascii="Times New Roman" w:cs="Times New Roman" w:eastAsia="Times New Roman" w:hAnsi="Times New Roman"/>
          <w:sz w:val="18"/>
          <w:szCs w:val="18"/>
          <w:color w:val="auto"/>
        </w:rPr>
      </w:pPr>
    </w:p>
    <w:p>
      <w:pPr>
        <w:jc w:val="both"/>
        <w:ind w:left="980" w:right="280" w:hanging="324"/>
        <w:spacing w:after="0" w:line="258"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61" w:lineRule="exact"/>
        <w:rPr>
          <w:rFonts w:ascii="Times New Roman" w:cs="Times New Roman" w:eastAsia="Times New Roman" w:hAnsi="Times New Roman"/>
          <w:sz w:val="18"/>
          <w:szCs w:val="18"/>
          <w:color w:val="auto"/>
        </w:rPr>
      </w:pPr>
    </w:p>
    <w:p>
      <w:pPr>
        <w:ind w:left="980" w:right="320" w:hanging="324"/>
        <w:spacing w:after="0" w:line="258"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and Sanofi have broad option rights to select up to five targets each, and Pfizer has option rights to multiple targets, for exclusive targeted protein degrader development, so long as not excluded by us under the terms of each collaboration, and may select targets we are considering but have not taken sufficient action to exclude under each collaboration.</w:t>
      </w:r>
    </w:p>
    <w:p>
      <w:pPr>
        <w:spacing w:after="0" w:line="61" w:lineRule="exact"/>
        <w:rPr>
          <w:rFonts w:ascii="Times New Roman" w:cs="Times New Roman" w:eastAsia="Times New Roman" w:hAnsi="Times New Roman"/>
          <w:sz w:val="18"/>
          <w:szCs w:val="18"/>
          <w:color w:val="auto"/>
        </w:rPr>
      </w:pPr>
    </w:p>
    <w:p>
      <w:pPr>
        <w:ind w:left="980" w:right="680" w:hanging="324"/>
        <w:spacing w:after="0" w:line="266"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67" w:lineRule="exact"/>
        <w:rPr>
          <w:rFonts w:ascii="Times New Roman" w:cs="Times New Roman" w:eastAsia="Times New Roman" w:hAnsi="Times New Roman"/>
          <w:sz w:val="18"/>
          <w:szCs w:val="18"/>
          <w:color w:val="auto"/>
        </w:rPr>
      </w:pPr>
    </w:p>
    <w:p>
      <w:pPr>
        <w:ind w:left="980" w:right="120" w:hanging="324"/>
        <w:spacing w:after="0" w:line="25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w:t>
      </w:r>
    </w:p>
    <w:p>
      <w:pPr>
        <w:spacing w:after="0" w:line="82" w:lineRule="exact"/>
        <w:rPr>
          <w:rFonts w:ascii="Times New Roman" w:cs="Times New Roman" w:eastAsia="Times New Roman" w:hAnsi="Times New Roman"/>
          <w:sz w:val="18"/>
          <w:szCs w:val="18"/>
          <w:color w:val="auto"/>
        </w:rPr>
      </w:pPr>
    </w:p>
    <w:p>
      <w:pPr>
        <w:ind w:left="980" w:right="520" w:hanging="324"/>
        <w:spacing w:after="0" w:line="266"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54" w:lineRule="exact"/>
        <w:rPr>
          <w:rFonts w:ascii="Times New Roman" w:cs="Times New Roman" w:eastAsia="Times New Roman" w:hAnsi="Times New Roman"/>
          <w:sz w:val="18"/>
          <w:szCs w:val="18"/>
          <w:color w:val="auto"/>
        </w:rPr>
      </w:pPr>
    </w:p>
    <w:p>
      <w:pPr>
        <w:ind w:left="980" w:right="40" w:hanging="324"/>
        <w:spacing w:after="0" w:line="25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Gilead, Sanofi and Pfizer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69" w:lineRule="exact"/>
        <w:rPr>
          <w:rFonts w:ascii="Times New Roman" w:cs="Times New Roman" w:eastAsia="Times New Roman" w:hAnsi="Times New Roman"/>
          <w:sz w:val="18"/>
          <w:szCs w:val="18"/>
          <w:color w:val="auto"/>
        </w:rPr>
      </w:pPr>
    </w:p>
    <w:p>
      <w:pPr>
        <w:ind w:left="980" w:right="60" w:hanging="324"/>
        <w:spacing w:after="0" w:line="296" w:lineRule="auto"/>
        <w:tabs>
          <w:tab w:leader="none" w:pos="97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the collaborators and us that result in the delay or termination of the research, development or commercialization of our products or drug candidates or that result in costly litigation or arbitration that diverts management attention and resources.</w:t>
      </w:r>
    </w:p>
    <w:p>
      <w:pPr>
        <w:spacing w:after="0" w:line="44" w:lineRule="exact"/>
        <w:rPr>
          <w:rFonts w:ascii="Times New Roman" w:cs="Times New Roman" w:eastAsia="Times New Roman" w:hAnsi="Times New Roman"/>
          <w:sz w:val="17"/>
          <w:szCs w:val="17"/>
          <w:color w:val="auto"/>
        </w:rPr>
      </w:pPr>
    </w:p>
    <w:p>
      <w:pPr>
        <w:ind w:left="980" w:right="300" w:hanging="324"/>
        <w:spacing w:after="0" w:line="266"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including if we undergo a change of control. For example, Sanofi may terminate its agreement with us if we undergo a change of control.</w:t>
      </w:r>
    </w:p>
    <w:p>
      <w:pPr>
        <w:spacing w:after="0" w:line="54"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drug candidates. For example, each of Gilead, Sanofi and Pfizer can terminate its agreement with us in its entirety or with respect to a specific target for convenience upon written notice or in connection with a material breach of the agreement by us that remains uncured for a specified period of time.</w:t>
      </w:r>
    </w:p>
    <w:p>
      <w:pPr>
        <w:spacing w:after="0" w:line="82" w:lineRule="exact"/>
        <w:rPr>
          <w:rFonts w:ascii="Times New Roman" w:cs="Times New Roman" w:eastAsia="Times New Roman" w:hAnsi="Times New Roman"/>
          <w:sz w:val="18"/>
          <w:szCs w:val="18"/>
          <w:color w:val="auto"/>
        </w:rPr>
      </w:pPr>
    </w:p>
    <w:p>
      <w:pPr>
        <w:ind w:left="980" w:right="120" w:hanging="324"/>
        <w:spacing w:after="0" w:line="25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drug candidates in the most efficient manner, or at all. For instance,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82"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Moreover, all of the risks relating to product development, marketing approval and commercialization described in this Quarterly Report on Form 10-Q apply to the activities of our collaborators.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We may in the future decide to collaborate with pharmaceutical and biotechnology companies for the development and potential commercialization of any drug candidates we may develop. These relationships may require us to incur non-recurring and other charges, increase our near-and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upon, among other things,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w:t>
      </w:r>
    </w:p>
    <w:p>
      <w:pPr>
        <w:spacing w:after="0" w:line="19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5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We plan to continue to selectively pursue collaborations with leading biopharmaceutical and biotechnology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w:t>
      </w:r>
    </w:p>
    <w:p>
      <w:pPr>
        <w:spacing w:after="0" w:line="78" w:lineRule="exact"/>
        <w:rPr>
          <w:sz w:val="20"/>
          <w:szCs w:val="20"/>
          <w:color w:val="auto"/>
        </w:rPr>
      </w:pPr>
    </w:p>
    <w:p>
      <w:pPr>
        <w:ind w:right="180" w:firstLine="648"/>
        <w:spacing w:after="0" w:line="280" w:lineRule="auto"/>
        <w:rPr>
          <w:sz w:val="20"/>
          <w:szCs w:val="20"/>
          <w:color w:val="auto"/>
        </w:rPr>
      </w:pPr>
      <w:r>
        <w:rPr>
          <w:rFonts w:ascii="Times New Roman" w:cs="Times New Roman" w:eastAsia="Times New Roman" w:hAnsi="Times New Roman"/>
          <w:sz w:val="17"/>
          <w:szCs w:val="17"/>
          <w:color w:val="auto"/>
        </w:rPr>
        <w:t>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w:t>
      </w:r>
    </w:p>
    <w:p>
      <w:pPr>
        <w:spacing w:after="0" w:line="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financial condition, results of operations and prospects.</w:t>
      </w:r>
    </w:p>
    <w:p>
      <w:pPr>
        <w:spacing w:after="0" w:line="17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deadlines for completing such trials.</w:t>
      </w:r>
    </w:p>
    <w:p>
      <w:pPr>
        <w:spacing w:after="0" w:line="51"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We rely on third-party contract research organizations (CROs) to conduct our Phase 1 clinical trial programs for bexobrutideg (NX-5948), zelebrudomide (NX-2127) and NX-1607 and we will rely on third-party CROs to conduct any clinical trials for other drug candidates. Agreements with these CROs might terminate for a variety of reasons, including for such CRO’s failure to perform. Entry into alternative arrangements, if necessary, could significantly delay our product development activities.</w:t>
      </w:r>
    </w:p>
    <w:p>
      <w:pPr>
        <w:spacing w:after="0" w:line="83" w:lineRule="exact"/>
        <w:rPr>
          <w:sz w:val="20"/>
          <w:szCs w:val="20"/>
          <w:color w:val="auto"/>
        </w:rPr>
      </w:pPr>
    </w:p>
    <w:p>
      <w:pPr>
        <w:ind w:right="260" w:firstLine="648"/>
        <w:spacing w:after="0" w:line="246" w:lineRule="auto"/>
        <w:rPr>
          <w:sz w:val="20"/>
          <w:szCs w:val="20"/>
          <w:color w:val="auto"/>
        </w:rPr>
      </w:pPr>
      <w:r>
        <w:rPr>
          <w:rFonts w:ascii="Times New Roman" w:cs="Times New Roman" w:eastAsia="Times New Roman" w:hAnsi="Times New Roman"/>
          <w:sz w:val="18"/>
          <w:szCs w:val="18"/>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and other foreign regulators such as the EMA and the MHRA require compliance with good clinical practice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w:t>
      </w:r>
    </w:p>
    <w:p>
      <w:pPr>
        <w:spacing w:after="0" w:line="16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72" w:lineRule="exact"/>
        <w:rPr>
          <w:sz w:val="20"/>
          <w:szCs w:val="20"/>
          <w:color w:val="auto"/>
        </w:rPr>
      </w:pPr>
    </w:p>
    <w:p>
      <w:pPr>
        <w:ind w:right="260" w:firstLine="648"/>
        <w:spacing w:after="0" w:line="246"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on and expect to continue to rely on third-party contract manufacturing organizations (CMOs) for both drug substance and finished drug product. This reliance on CMOs, particularly where one CMO is the sole source of the drug substance or finished drug product, may increase the risk that we will not have sufficient quantities of our drug candidates or products or such quantities at an acceptable cost or quality, which could delay, prevent or impair our development or commercialization efforts.</w:t>
      </w:r>
    </w:p>
    <w:p>
      <w:pPr>
        <w:spacing w:after="0" w:line="8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Further, we rely on third parties located in China for some of our contract manufacturing, and we expect to continue to use such third-party manufacturers for such purposes. For any activities conducted in China, we are exposed to the possibility of product supply disruption and increased costs in the event of changes in the policies of the United States or Chinese governments, political unrest or unstable economic conditions in China.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therapeutic candidates. For example, in April 2025, the United States announced extensive tariffs on goods imported from China, where certain of our third-party manufacturers are located. While we believe we currently have sufficient inventory for clinical use and do not anticipate any near-term impact to our clinical programs, we expect these tariffs may increase the cost of our product supply in the future. Such events could result in our clinical or commercial supply of drug, packaging and other services being interrupted or limited, which could harm our business.</w:t>
      </w:r>
    </w:p>
    <w:p>
      <w:pPr>
        <w:spacing w:after="0" w:line="9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may be unable to establish agreements with CMOs or to do so on acceptable terms. Even if we are able to establish agreements with CMOs, reliance on them entails additional risks, including:</w:t>
      </w:r>
    </w:p>
    <w:p>
      <w:pPr>
        <w:spacing w:after="0" w:line="54"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CMO for regulatory, compliance and quality assurance;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CMO;</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CMO at a time that is costly or inconvenient for us.</w:t>
      </w:r>
    </w:p>
    <w:p>
      <w:pPr>
        <w:spacing w:after="0" w:line="117"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w:t>
      </w:r>
    </w:p>
    <w:p>
      <w:pPr>
        <w:spacing w:after="0" w:line="69"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drug candidates must be approved by the FDA or the EMA or other national or international regulatory agencies pursuant to inspections that will be conducted after we submit our new drug application (NDA) to the FDA or our MAA to the EMA or other regulatory authority.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the EMA or comparable foreign regulatory bodies, they will not be able to secure and/or maintain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such regulatory authority withdraws any such approval in the future, we may need to find alternative manufacturing facilities, which would significantly impact our ability to develop, obtain marketing approval for or market our drug candidates, if approved.</w:t>
      </w:r>
    </w:p>
    <w:p>
      <w:pPr>
        <w:spacing w:after="0" w:line="94"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82" w:lineRule="exact"/>
        <w:rPr>
          <w:sz w:val="20"/>
          <w:szCs w:val="20"/>
          <w:color w:val="auto"/>
        </w:rPr>
      </w:pPr>
    </w:p>
    <w:p>
      <w:pPr>
        <w:ind w:right="260" w:firstLine="648"/>
        <w:spacing w:after="0" w:line="246"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may not be able to reach agreement with any alternative manufacturer.</w:t>
      </w:r>
    </w:p>
    <w:p>
      <w:pPr>
        <w:spacing w:after="0" w:line="7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products may adversely affect our future profit margins and our ability to commercialize any products that receive marketing approval on a timely and competitive basis.</w:t>
      </w:r>
    </w:p>
    <w:p>
      <w:pPr>
        <w:spacing w:after="0" w:line="14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suppliers may experience disruption to their respective supply chain due to the effects of macroeconomic conditions, which could delay, prevent or impair our development or commercialization efforts.</w:t>
      </w:r>
    </w:p>
    <w:p>
      <w:pPr>
        <w:spacing w:after="0" w:line="51" w:lineRule="exact"/>
        <w:rPr>
          <w:sz w:val="20"/>
          <w:szCs w:val="20"/>
          <w:color w:val="auto"/>
        </w:rPr>
      </w:pPr>
    </w:p>
    <w:p>
      <w:pPr>
        <w:ind w:right="160" w:firstLine="648"/>
        <w:spacing w:after="0" w:line="243" w:lineRule="auto"/>
        <w:rPr>
          <w:sz w:val="20"/>
          <w:szCs w:val="20"/>
          <w:color w:val="auto"/>
        </w:rPr>
      </w:pPr>
      <w:r>
        <w:rPr>
          <w:rFonts w:ascii="Times New Roman" w:cs="Times New Roman" w:eastAsia="Times New Roman" w:hAnsi="Times New Roman"/>
          <w:sz w:val="18"/>
          <w:szCs w:val="18"/>
          <w:color w:val="auto"/>
        </w:rPr>
        <w:t>We obtain certain chemical or biological intermediates in the synthesis of our drug candidates and natural health products (NHPs) for toxicology testing in countries affected by macroeconomic events and conditions, including inflation, interest rate fluctuations, uncertainty with respect to the federal budget and debt ceiling and potential government shutdowns related thereto, increasing financial market volatility and uncertainty, the impact of war or military conflict, including regional conflicts around the world, and public health pandemics. Supply chain disruptions and delays as a result of any new tariff policies or trade restrictions could also negatively impact our cost of materials and production processes. For example, the United States has announced tariffs on many goods imported from specified nations, including China and those in the European Union. In addition, there are currently discussions concerning potential increased tariffs for pharmaceutical products, which may impact our supply chain and create uncertainty in the broader pharmaceutical industry. While certain tariffs have been suspended, modified or temporarily reduced, we cannot predict the results of the U.S. government’s trade negotiations or the outcome of ongoing legal challenges to specific tariff policies. If we are unable to obtain these chemical or biological intermediates or NHPs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w:t>
      </w:r>
    </w:p>
    <w:p>
      <w:pPr>
        <w:spacing w:after="0" w:line="18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CMOs may be unable to successfully scale-up manufacturing of our drug candidates in sufficient quality and quantity, which would delay or prevent us from developing our drug candidates and commercializing approved products, if any.</w:t>
      </w:r>
    </w:p>
    <w:p>
      <w:pPr>
        <w:spacing w:after="0" w:line="5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In order to conduct clinical trials of our drug candidates, we will need to manufacture our drug candidates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Drug Candidates</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drug candidates receive marketing approval, a drug candidate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If any of our drug candidates receive marketing approval, they may nonetheless fail to gain sufficient market acceptance by physicians, patients, third-party payors and others in the medical community. For example, ibrutinib is a well-established current treatment for chronic lymphocytic leukemia (CLL), and doctors may continue to rely on this and other treatments. If our drug candidates do not achieve an adequate level of acceptance, we may not generate sufficient revenue from product sales and we may not become profitable. The degree of market acceptance of our drug candidates, if approved for commercial sale, will depend on a number of factors, including:</w:t>
      </w:r>
    </w:p>
    <w:p>
      <w:pPr>
        <w:spacing w:after="0" w:line="87"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 particular compared to alternative treatments;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marketing, sales and distribution support;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payor coverage and adequate reimbursement;</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a positive HTA recommendation for the product to be prescribed and reimbursed under the national health system;</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marketing approval in relation to other product approvals;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20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we may not be successful in commercializing our drug candidates if and when they are approved.</w:t>
      </w:r>
    </w:p>
    <w:p>
      <w:pPr>
        <w:spacing w:after="0" w:line="5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w:t>
      </w:r>
    </w:p>
    <w:p>
      <w:pPr>
        <w:spacing w:after="0" w:line="61"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We currently expect that we may build our own focused, specialized sales and marketing organization to support the commercialization in the United States of drug candidates for which we receive marketing approval and which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04" w:lineRule="exact"/>
        <w:rPr>
          <w:sz w:val="20"/>
          <w:szCs w:val="20"/>
          <w:color w:val="auto"/>
        </w:rPr>
      </w:pPr>
    </w:p>
    <w:p>
      <w:pPr>
        <w:ind w:left="980" w:right="10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reimbursement, customer service, medical affairs and other support personnel;</w:t>
      </w:r>
    </w:p>
    <w:p>
      <w:pPr>
        <w:spacing w:after="0" w:line="40"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04"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If we are unable to establish our own sales and marketing capabilities or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Even if we are able to commercialize any drug candidates, the products may become subject to unfavorable pricing regulations, third-party reimbursement practices or healthcare reform initiatives, or fail to secure a positive health technology assessment, which would harm our business.</w:t>
      </w:r>
    </w:p>
    <w:p>
      <w:pPr>
        <w:spacing w:after="0" w:line="28"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non-U.S.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w:t>
      </w:r>
    </w:p>
    <w:p>
      <w:pPr>
        <w:spacing w:after="0" w:line="6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Our ability to commercialize any drug candidates successfully also will depend in part on the extent to which coverage and adequate reimbursement for these products and related treatments will be available from government healthcare programs, private health insurers, national health technology assessment authorities in Europe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key focus in the U.S. healthcare industry and elsewhere is cost containment. Government authorities and third-party payors have attempted to control costs by limiting coverage and the amount of reimbursement for particular medications, as well as mandating a system of manufacturer rebates to government payors.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sufficient to cover our costs.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w:t>
      </w:r>
    </w:p>
    <w:p>
      <w:pPr>
        <w:spacing w:after="0" w:line="89"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across the entire eligible patient population, as a first-line treatment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may take into account comparative cost-effectiveness, particularly in European jurisdictions,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results of operations, our ability to raise capital needed to commercialize products and our overall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w:t>
      </w:r>
    </w:p>
    <w:p>
      <w:pPr>
        <w:spacing w:after="0" w:line="61"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drug candidates or products that we may develop;</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marketing approval, recall, restriction on the approval or a “black box” warning or contraindication for an approved drug;</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7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patent and other intellectual property and proprietary protection in the United States and other countries with respect to our current drug candidates, future drug candidates that we may develop and proprietary technology. We seek to protect our proprietary position by filing patent applications in the United States and abroad related to our novel technologies and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w:t>
      </w:r>
    </w:p>
    <w:p>
      <w:pPr>
        <w:spacing w:after="0" w:line="8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and it is possible that we may be unable to correct such defects.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or design around our claimed subject matter. Any of these outcomes could impair our ability to prevent competition from third parties.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Method of use patents protect the use of a product for the specified method. This type of patent does not prevent a competitor from making and marketing a product that is identical to our therapeutics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 Consequently, the types of claims in issued patents of our patent portfolio may fail to afford strong protection against third-party infringement.</w:t>
      </w:r>
    </w:p>
    <w:p>
      <w:pPr>
        <w:spacing w:after="0" w:line="87"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protections offered by laws of different countries vary and the laws of foreign countries may not protect our rights to the same extent as the laws of the United States. For example, European patent law and jurisprudence restricts the patentability of methods of treatment of the human body more than U.S. patent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have in recent years been the subject of much litigation. As a result, the issuance, scope, validity, enforceability and commercial value of our patent rights, whether owned or in-licensed, are highly uncertain.</w:t>
      </w:r>
    </w:p>
    <w:p>
      <w:pPr>
        <w:spacing w:after="0" w:line="93"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current and future drug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or our licensors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third-party challenges in patent offices in the United States and abroad. Even issued patents may later be found invalid or unenforceable or may be modified or revoked in proceedings instituted by third parties before various patent offices or in courts. For example, our pending patent applications may be subject to third-party submissions of prior art to the United States Patent and Trademark Office (USPTO) challenging the validity of one or more claims of our owned or licensed pending patent applications, precluding the granting of a patent based on one of our owned or licensed pending patent applications or we may become involved in opposition, derivation, reexamination, inter partes review, post-grant review or other post-grant proceedings, in the United States or elsewhere, challenging our or our licensors’ patent rights or the patent rights of others. An adverse determination in any such challenge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Such challenges may result in loss of patent rights or exclusivity,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scientific personnel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w:t>
      </w:r>
    </w:p>
    <w:p>
      <w:pPr>
        <w:spacing w:after="0" w:line="9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Further, recent reforms and changes at government agencies of the United States and those of non-U.S. jurisdictions could increase the delays, uncertainties and costs surrounding the prosecution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personnel and fill key leadership appointments, among various factors. Termination of employees or delays in replacing or hiring for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and strong to impede such competition, our ability to successfully commercialize our drug candidates could be negatively affected and companies may be dissuaded from collaborating with us, which could have a material adverse effect on our business, financial condition, results of operations and prospects.</w:t>
      </w:r>
    </w:p>
    <w:p>
      <w:pPr>
        <w:spacing w:after="0" w:line="7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The degree of future protection for our proprietary rights is uncertain. Only limited protection may be available and may not adequately protect our rights or permit us to gain or keep any competitive advantage. Any of the foregoing could have a material adverse effect on our business, financial condition, results of operations and prospects.</w:t>
      </w:r>
    </w:p>
    <w:p>
      <w:pPr>
        <w:spacing w:after="0" w:line="17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drug candidates.</w:t>
      </w:r>
    </w:p>
    <w:p>
      <w:pPr>
        <w:spacing w:after="0" w:line="5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w:t>
      </w:r>
    </w:p>
    <w:p>
      <w:pPr>
        <w:spacing w:after="0" w:line="7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and actions by the U.S. Congress, the U.S. Supreme Court,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w:t>
      </w:r>
    </w:p>
    <w:p>
      <w:pPr>
        <w:spacing w:after="0" w:line="17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obtain patent protection for our drug candidates, the life of such protection is limited, and third parties could develop and commercialize products and technologies similar or identical to ours and compete directly against us after the expiration of our patent rights and our ability to successfully commercialize any product or technology would be materially adversely affected.</w:t>
      </w:r>
    </w:p>
    <w:p>
      <w:pPr>
        <w:spacing w:after="0" w:line="67"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18"/>
          <w:szCs w:val="18"/>
          <w:color w:val="auto"/>
        </w:rPr>
        <w:t>The life of a patent and the protection it affords is limited. For example, in the United States, if all maintenance fees are timely paid, the natural expiration of a patent is generally 20 years from its earliest U.S. non-provisional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Upon issuance in the United States, the term of a patent can be increased by patent term adjustment based on certain delays caused by the USPTO, but this increase can be reduced or eliminated based on certain delays caused by the patent applicant during patent prosecution. The term of a U.S. patent may also be shortened if the patent is terminally disclaimed over an earlier-filed patent. A patent term extension (PTE) based on regulatory delay may be available in the United States and in other jurisdictions, such as the UK and the EU, including through a supplementary protection certificate (SPC). In the EU and the UK, patent protection can be extended for a maximum period of five years and six months under certain circumstances. However, only a single patent can be extended for each marketing approval, and any patent can be extended only once, for a single product. Laws governing extensions analogous to PTEs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PTE or restoration, or the term of any such extension is less than we request, the period during which we will have the right to exclusively market our therapeutic will be shorter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w:t>
      </w:r>
    </w:p>
    <w:p>
      <w:pPr>
        <w:spacing w:after="0" w:line="202" w:lineRule="exact"/>
        <w:rPr>
          <w:sz w:val="20"/>
          <w:szCs w:val="20"/>
          <w:color w:val="auto"/>
        </w:rPr>
      </w:pPr>
    </w:p>
    <w:p>
      <w:pPr>
        <w:ind w:right="4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need to license intellectual property from third parties that may not be available to us or may not be available on commercially reasonable terms, and we may not be successful in obtaining or maintaining necessary rights to our drug candidates through acquisitions and in-licenses.</w:t>
      </w:r>
    </w:p>
    <w:p>
      <w:pPr>
        <w:spacing w:after="0" w:line="28"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Because our development programs may in the future require the use of proprietary rights held by third parties, the growth of our business may depend in part on our ability to acquire, in-license, or use these third-party proprietary rights. A license to such intellectual property may not be available or may not be available on commercially reasonable terms, which could have a material adverse effect on our business, financial condition, results of operations and prospects. We may be unable to acquire or in-license any compositions, methods of use, processes or other third-party intellectual property rights from third parties that we identify as necessary for our drug candidates.</w:t>
      </w:r>
    </w:p>
    <w:p>
      <w:pPr>
        <w:spacing w:after="0" w:line="73"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We may not be able to successfully complete such negotiations and ultimately acquire the rights to the intellectual property surrounding the additional drug candidates we may seek to acquire. If we are unable to successfully obtain rights to required third-party intellectual property rights or maintain the existing intellectual property rights we have, we may have to abandon development of the relevant program or drug candidate, which could have a material adverse effect on our business, financial condition, results of operations, and prospects.</w:t>
      </w:r>
    </w:p>
    <w:p>
      <w:pPr>
        <w:spacing w:after="0" w:line="182"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6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7"/>
          <w:szCs w:val="17"/>
          <w:color w:val="auto"/>
        </w:rPr>
        <w:t>Numerous third-party U.S. and non-U.S. issued patents exist in the area of biotechnology, including in the area of targeted protein degraders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inter partes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inter partes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w:t>
      </w:r>
    </w:p>
    <w:p>
      <w:pPr>
        <w:spacing w:after="0" w:line="64"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targeted protein degraders. This patent may be alleged to cover one or more of our targeted protein degrader drug candidates, including our bexobrutideg (NX-5948) and zelebrudomide (NX-2127) drug candidates. While we believe that we have valid defenses against any assertion of such patent against us, such defenses may be unsuccessful. If we are unsuccessful and any of our targeted protein degrader drug candidates is found to infringe this patent, we could be required to obtain a license to such patent or forced to permanently cease developing, manufacturing, marketing and commercializing the infringing targeted protein degrader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7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w:t>
      </w:r>
    </w:p>
    <w:p>
      <w:pPr>
        <w:spacing w:after="0" w:line="72"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In addition, we could be found liable for monetary damages, which could be significant, including treble damages and attorneys’ fees if we are found to have willfully infringed a patent or other intellectual property right. A finding of infringement could prevent us from producing or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including due to any additional or separate regulatory approval to which the redesigned products may be subject by regulatory authorities, and any redesigned products may be of inferior quality or performance.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degradation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77"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For example, we may incorrectly determine that our drug candidates are not covered by a third-party patent or may incorrectly predict whether a third-party’s pending application will issue with claims of relevant scope.</w:t>
      </w:r>
    </w:p>
    <w:p>
      <w:pPr>
        <w:spacing w:after="0" w:line="87"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therapeutics. We do not always conduct independent reviews of pending patent applications of and patents issued to third parties.</w:t>
      </w:r>
    </w:p>
    <w:p>
      <w:pPr>
        <w:spacing w:after="0" w:line="87"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Additionally, pending patent applications that have been published can, subject to certain limitations, later be amended in a manner that could cover our technologies, our future products or the manufacture or use of our future products. As such, there may be applications of others now pending or recently revived patents of which we are unaware. These patent applications may later result in issued patents, or the revival of previously abandoned patents, that will prevent, limit or otherwise interfere with our ability to make, use or sell our products.</w:t>
      </w:r>
    </w:p>
    <w:p>
      <w:pPr>
        <w:spacing w:after="0" w:line="73"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w:t>
      </w:r>
    </w:p>
    <w:p>
      <w:pPr>
        <w:spacing w:after="0" w:line="73"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We may choose to challenge the enforceability or validity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drug candidates or proprietary technologies.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and development efforts, adversely affect our ability to raise additional funds and could limit our ability to continue our operations. Any of the foregoing could have a material adverse effect on our business.</w:t>
      </w:r>
    </w:p>
    <w:p>
      <w:pPr>
        <w:spacing w:after="0" w:line="181" w:lineRule="exact"/>
        <w:rPr>
          <w:sz w:val="20"/>
          <w:szCs w:val="20"/>
          <w:color w:val="auto"/>
        </w:rPr>
      </w:pPr>
    </w:p>
    <w:p>
      <w:pPr>
        <w:ind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w:t>
      </w:r>
    </w:p>
    <w:p>
      <w:pPr>
        <w:spacing w:after="0" w:line="2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may hire and employ individuals who were previously employed at, or may have previously provided or may be currently providing consulting services to,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improperly use the proprietary information or know-how of others in their work for us, we may be subject to claims that these individuals or we have inadvertently or otherwise improperly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distract our management and other employees from their regular responsibilities.</w:t>
      </w:r>
    </w:p>
    <w:p>
      <w:pPr>
        <w:spacing w:after="0" w:line="89"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In addition, although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5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In any patent infringement proceeding, there is a risk that a court will decide that a patent of ours is invalid or unenforceable, in whole or in part. If a third party were to prevail on a legal assertion of invalidity or unenforceability, we could lose at least part, and perhaps all, of the patent protection on our drug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future patented technology falls under the safe harbor to patent infringement under 35 U.S.C. §271(e)(1). An adverse result in any litigation or proceeding involving our patents or patent applications may put one or more of our patents at risk of being invalidated, held unenforceable or interpreted narrowly.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90"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Even if we successfully assert our patents or other intellectual property rights, a court may not award remedies that sufficiently compensate us for our losses. For example,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In addition, the uncertainties associated with litigation could compromise our ability to raise the funds necessary to continue our clinical trials, continue our internal research programs, in-license needed technology or other drug candidates, or enter into development partnerships that would help us bring our drug candidates to market.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drug candidates, approved products, programs or intellectual property could be diminished. Accordingly, the market price of shares of our common stock may decline. Such announcements could also harm our reputation or the market for our drug candidates, which could have a material adverse effect on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pursue or guarantee protection of our intellectual property rights in jurisdictions outside the United States.</w:t>
      </w:r>
    </w:p>
    <w:p>
      <w:pPr>
        <w:spacing w:after="0" w:line="12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Patents are of national or regional effect. Filing, prosecuting and defending patents on drug candidates, research programs and technology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w:t>
      </w:r>
    </w:p>
    <w:p>
      <w:pPr>
        <w:spacing w:after="0" w:line="78"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may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 Accordingly, our efforts to enforce our intellectual property rights around the world may be inadequate to obtain a significant commercial advantage from the intellectual property that we develop or license.</w:t>
      </w:r>
    </w:p>
    <w:p>
      <w:pPr>
        <w:spacing w:after="0" w:line="72"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In Europe, beginning June 1, 2023, European applications and patents may be subject to the jurisdiction of the Unified Patent Court (UPC). Also, European applications will have the option, upon grant of a patent, of becoming a Unitary Patent which will be subject to the jurisdiction of the UPC. This will be a significant change in European patent practice. As the UPC is a new court system, there is very little precedent for the court, increasing the uncertainty of any litigation. As a single court system can invalidate a European patent, we, where applicable, may opt out of the UPC, and as such, each European patent would need to be challenged in each individual country.</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28"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and/or patent application are due to be paid to the USPTO and patent offices in foreign countries in several stages over the lifetime of the patent and/or patent application. The USPTO and patent offices in various foreign countries require compliance with a number of procedural, documentary, fee payment and other similar requirements during the patent application process and throughout the life of a granted patent.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could have a material adverse effect on our business and competitive position.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12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drug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spacing w:after="0" w:line="78"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drug candidates, we also rely on trade secrets, including unpatented know-how, technology and other proprietary information, and confidentiality agreements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 We cannot guarantee that we have entered into such agreements with each party that may have or had access to our trade secrets or proprietary technology and processes and even in cases we have, we cannot be certain that our trade secrets and other confidential proprietary information will not be disclosed or used in an unauthorized manner by third parties. Monitoring unauthorized uses and disclosures of our intellectual property is difficult, and we do not know whether the steps we have taken to protect our intellectual property will be effective. Furthermore,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expensive, time-consuming and difficult to prove and the outcome is unpredictable. In addition, some courts inside and outside of the United States may be less willing or unwilling to protect trade secrets. As a result, we could lose our trade secrets and third parties could use our trade secrets to compete with our drug candidates and technology.</w:t>
      </w:r>
    </w:p>
    <w:p>
      <w:pPr>
        <w:spacing w:after="0" w:line="8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8" w:lineRule="exact"/>
        <w:rPr>
          <w:sz w:val="20"/>
          <w:szCs w:val="20"/>
          <w:color w:val="auto"/>
        </w:rPr>
      </w:pPr>
    </w:p>
    <w:p>
      <w:pPr>
        <w:ind w:left="980" w:right="120" w:hanging="324"/>
        <w:spacing w:after="0" w:line="250"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drug candidates we may develop or utilize similar technology but that are not covered by the claims of the patents that we own or license now or in the future, or may develop drug candidates for the diseases our drug candidates seek to treat that do not infringe on our intellectual property rights, but which perform better or are more successful than our drug candidates;</w:t>
      </w:r>
    </w:p>
    <w:p>
      <w:pPr>
        <w:spacing w:after="0" w:line="69"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candidates utilizing issued patents and other intellectual property that we hold may prove to be ineffective for their intended treatment or we may not obtain regulatory approval for such drug candidates;</w:t>
      </w:r>
    </w:p>
    <w:p>
      <w:pPr>
        <w:spacing w:after="0" w:line="67"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make the inventions covered by the issued patent or pending patent application that we own or license now or in the future;</w:t>
      </w:r>
    </w:p>
    <w:p>
      <w:pPr>
        <w:spacing w:after="0" w:line="54"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file patent applications covering certain of our or their inventions;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patent applications or those that we may own or license in the future will not lead to issued patents;</w:t>
      </w:r>
    </w:p>
    <w:p>
      <w:pPr>
        <w:spacing w:after="0" w:line="103"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scope of protection of any patent issuing based on our patent applications, including whether the patent applications that we own will result in issued patents with claims directed to our drug candidates or uses thereof in the United States or in other foreign countries;</w:t>
      </w:r>
    </w:p>
    <w:p>
      <w:pPr>
        <w:spacing w:after="0" w:line="82"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any current patents or patent issuing based on patent applications that we own may not provide protection against competitors or any competitive advantages or may be challenged by third parties;</w:t>
      </w:r>
    </w:p>
    <w:p>
      <w:pPr>
        <w:spacing w:after="0" w:line="54"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may hold rights to in the future may be held invalid or unenforceable, including as a result of legal challenges by our competitors;</w:t>
      </w:r>
    </w:p>
    <w:p>
      <w:pPr>
        <w:spacing w:after="0" w:line="40" w:lineRule="exact"/>
        <w:rPr>
          <w:rFonts w:ascii="Times New Roman" w:cs="Times New Roman" w:eastAsia="Times New Roman" w:hAnsi="Times New Roman"/>
          <w:sz w:val="18"/>
          <w:szCs w:val="18"/>
          <w:color w:val="auto"/>
        </w:rPr>
      </w:pPr>
    </w:p>
    <w:p>
      <w:pPr>
        <w:ind w:left="980" w:right="76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220" w:hanging="324"/>
        <w:spacing w:after="0" w:line="258"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61"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drug candidates;</w:t>
      </w:r>
    </w:p>
    <w:p>
      <w:pPr>
        <w:spacing w:after="0" w:line="67"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initiate litigation or administrative proceedings to enforce and/or defend our patent rights which will be costly whether we win or lose;</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enforce and/or defend our patent rights, a court may not hold that our patents are valid, enforceable and infringed;</w:t>
      </w:r>
    </w:p>
    <w:p>
      <w:pPr>
        <w:spacing w:after="0" w:line="117"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 party may subsequently file a patent application covering such intellectual property;</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117" w:lineRule="exact"/>
        <w:rPr>
          <w:rFonts w:ascii="Times New Roman" w:cs="Times New Roman" w:eastAsia="Times New Roman" w:hAnsi="Times New Roman"/>
          <w:sz w:val="18"/>
          <w:szCs w:val="18"/>
          <w:color w:val="auto"/>
        </w:rPr>
      </w:pPr>
    </w:p>
    <w:p>
      <w:pPr>
        <w:ind w:left="980" w:right="480" w:hanging="324"/>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including if others obtain patents claiming subject matter similar to or improving subject matter that is covered by our patent applications.</w:t>
      </w:r>
    </w:p>
    <w:p>
      <w:pPr>
        <w:spacing w:after="0" w:line="54"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Our Drug Candidates</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of the FDA and other national or European regulators is lengthy, time-consuming and inherently unpredictable, and if we are ultimately unable to obtain marketing approval for our drug candidates, our business will be substantially harmed.</w:t>
      </w:r>
    </w:p>
    <w:p>
      <w:pPr>
        <w:spacing w:after="0" w:line="5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The time required to obtain approval by the FDA and other national or European regulators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drug candidates could be delayed or fail to receive marketing approval for many reasons, including the following:</w:t>
      </w:r>
    </w:p>
    <w:p>
      <w:pPr>
        <w:spacing w:after="0" w:line="104"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interpretation of data from preclinical studies or clinical trials;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the design or implementation of our planned clinical trials;</w:t>
      </w:r>
    </w:p>
    <w:p>
      <w:pPr>
        <w:spacing w:after="0" w:line="117" w:lineRule="exact"/>
        <w:rPr>
          <w:rFonts w:ascii="Times New Roman" w:cs="Times New Roman" w:eastAsia="Times New Roman" w:hAnsi="Times New Roman"/>
          <w:sz w:val="18"/>
          <w:szCs w:val="18"/>
          <w:color w:val="auto"/>
        </w:rPr>
      </w:pPr>
    </w:p>
    <w:p>
      <w:pPr>
        <w:ind w:left="980" w:right="48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from clinical trials of our drug candidates may not be sufficient to support the submission of an NDA to the FDA or other submissions necessary to obtain marketing approval in the United States;</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that a drug candidate is safe and effective for its proposed indication;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for approval;</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drug candidates’ clinical and other benefits outweigh their safety risks;</w:t>
      </w:r>
    </w:p>
    <w:p>
      <w:pPr>
        <w:spacing w:after="0" w:line="103"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find deficiencies with or fail to approve the manufacturing processes or facilities of third-party manufacturers with which we contract for clinical and commercial supplies; and</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may significantly change, including in a manner rendering our clinical data insufficient for approval or otherwise impacting the FDA’s review process and timing or requirements.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20" w:firstLine="648"/>
        <w:spacing w:after="0" w:line="247"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w:t>
      </w:r>
    </w:p>
    <w:p>
      <w:pPr>
        <w:spacing w:after="0" w:line="2"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8"/>
          <w:szCs w:val="18"/>
          <w:color w:val="auto"/>
        </w:rPr>
        <w:t>Even if we believe the data collected from clinical trials of our drug candidates are promising, such data may not be sufficient to support approval by the FDA.</w:t>
      </w:r>
    </w:p>
    <w:p>
      <w:pPr>
        <w:spacing w:after="0" w:line="8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or they may impose significant limitations in the form of narrow indications, warnings or a risk evaluation and mitigation strategy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91"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Fast Track designation for bexobrutideg (NX-5948) and may seek Fast Track designation for other drug candidates in the future. Fast Track designation may not lead to faster development or regulatory review or approval process, and it does not increase the likelihood that our drug candidates will receive marketing approval.</w:t>
      </w:r>
    </w:p>
    <w:p>
      <w:pPr>
        <w:spacing w:after="0" w:line="67"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7"/>
          <w:szCs w:val="17"/>
          <w:color w:val="auto"/>
        </w:rPr>
        <w:t>In January 2024, the FDA granted Fast Track designation for bexobrutideg (NX-5948) in the United States for the treatment of adult patients with relapsed or refractory CLL or small lymphocytic lymphoma after at least two lines of therapy, including a BTK inhibitory and a B-cell lymphoma 2 inhibitor, and in December 2024, the FDA granted Fast Track designation for bexobrutideg in the United States for the treatment of adult patients with relapsed or refractory Waldenström macroglobulinemia after at least two lines of therapy, including a BTK inhibitor. As part of our business strategy, we may also seek Fast Track designation for other of our drug candidates. Programs with Fast Track designation may be eligible for more frequent interactions with the FDA, and, if relevant criteria are met, eligibility for Accelerated Approval and Priority Review. Fast Track designation applies to the drug candidate and the specific indication for which it is being studied. The FDA has broad discretion whether or not to grant this designation, so even if we believe a particular drug candidate is eligible for this designation, we cannot guarantee that the FDA would decide to grant it. If a drug candidate receives Fast Track designation but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w:t>
      </w:r>
    </w:p>
    <w:p>
      <w:pPr>
        <w:spacing w:after="0" w:line="64" w:lineRule="exact"/>
        <w:rPr>
          <w:sz w:val="20"/>
          <w:szCs w:val="20"/>
          <w:color w:val="auto"/>
        </w:rPr>
      </w:pPr>
    </w:p>
    <w:p>
      <w:pPr>
        <w:ind w:right="220" w:firstLine="648"/>
        <w:spacing w:after="0" w:line="246" w:lineRule="auto"/>
        <w:rPr>
          <w:sz w:val="20"/>
          <w:szCs w:val="20"/>
          <w:color w:val="auto"/>
        </w:rPr>
      </w:pPr>
      <w:r>
        <w:rPr>
          <w:rFonts w:ascii="Times New Roman" w:cs="Times New Roman" w:eastAsia="Times New Roman" w:hAnsi="Times New Roman"/>
          <w:sz w:val="18"/>
          <w:szCs w:val="18"/>
          <w:color w:val="auto"/>
        </w:rPr>
        <w:t>Furthermore, Fast Track designation does not change the standards for approval. The receipt of Fast Track designation for a drug candidate may not result in a faster development, regulatory review or approval process compared to drug candidates considered for approval under conventional FDA procedures and does not assure ultimate approval by the FDA. In addition, even if any drug candidate qualifies for Fast Track designation, the FDA may later decide that the drug candidate no longer meets the conditions for qualification or that the time period for FDA review or approval will not be shortened. Fast Track designation alone does not guarantee qualification for FDA Priority Review.</w:t>
      </w:r>
    </w:p>
    <w:p>
      <w:pPr>
        <w:spacing w:after="0" w:line="87"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18"/>
          <w:szCs w:val="18"/>
          <w:color w:val="auto"/>
        </w:rPr>
        <w:t>Under FDA policies, a drug candidate is eligible for Priority Review, or review within a six-month time frame from the time a complete NDA is accepted for filing, if the drug candidate provides a significant improvement in the safety or effectiveness of the treatment, diagnosis or prevention of serious conditions compared to available therapies. The FDA determines whether a drug qualifies for Priority Review after an NDA for such drug is submitted to the FDA. Therefore, until we submit NDAs for our drug candidates, we cannot be assured that they will be granted Priority Review. Even if Priority Review is granted for one of our drug candidates, the FDA does not always meet its six-month goal date for Priority Review, and the review process may be extended if the FDA requests additional information or clarification.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spacing w:after="0" w:line="7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may submit an NDA for one or more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The FDA may require that these studies be underway prior to Accelerated Approval pursuant to the Food and Drug Omnibus Reform Act of 2022 and under the FDA’s draft guidance on “Accelerated Approval and Considerations for Determining Whether a Confirmatory Trial is Underway” made available in January 2025. If such confirmatory trials fail to confirm the drug’s clinical profile or risks and benefits, the FDA may withdraw its approval of the drug.</w:t>
      </w:r>
    </w:p>
    <w:p>
      <w:pPr>
        <w:spacing w:after="0" w:line="82"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The FDA has broad discretion with regard to approval through the Accelerated Approval Program, and even if we believe that the Accelerated Approval Program is appropriate for one of our drug candidates, we cannot assure you that the FDA will ultimately agree. The FDA may also change its policies with respect to Accelerated Approval over time. For example, in March 2023, the FDA announced the availability of draft guidance on “Clinical Trial Considerations to Support Accelerated Approval of Oncology Therapeutics,” in which the agency outlined, and invited public comment on, its “preferred approach” of randomized controlled trials, including those that provide for longer term follow-up that could fulfill a postmarketing requirement to verify clinical benefit. In that draft guidance, the FDA acknowledged that historically, single-arm trial designs and response endpoints have most commonly been used in oncology but noted that such trials have limitations. Furthermore, even if we do obtain approval through the Accelerated Approval Program, we may not experience a faster development process, review or approval compared to conventional FDA procedures.</w:t>
      </w:r>
    </w:p>
    <w:p>
      <w:pPr>
        <w:spacing w:after="0" w:line="9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Even if the FDA reviews an NDA seeking Accelerated Approval, there can be no assurance that approval will be granted on a timely basis, or at all. The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spacing w:after="0" w:line="93"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Even if we receive approval for one or more of our drug candidates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Moreover, Congress is considering potential changes to the Accelerated Approval Program that could impact our ability to obtain Accelerated Approval, or increase the burdens associated with postmarketing requirements in the event we do obtain Accelerated Approval. In particular, the FDA must specify certain conditions for required postapproval studies for products that receive Accelerated Approval, which may include enrollment targets and milestones, including the target date for study completion, by the time the drug is approved. The FDA may also require postapproval studies to be underway at the time of Accelerated Approval or within a specified time period following Accelerated Approval for such drugs, and must explain any instances where it does not require such studies. The FDA’s January 2025 draft guidance on “Accelerated Approval and Considerations for Determining Whether a Confirmatory Trial is Underway,” while not finalized, suggests that the FDA generally intends to consider a confirmatory trial to be “underway” prior to accelerated approval if (1) the trial has a target completion date that is consistent with diligent and timely conduct of the trial, considering the nature of the trial’s design and objectives, (2) the sponsor’s progress and plans for postapproval conduct of the trial provide sufficient assurance to expect timely completion of the trial, and (3) enrollment of the confirmatory trial has been initiated.</w:t>
      </w:r>
    </w:p>
    <w:p>
      <w:pPr>
        <w:spacing w:after="0" w:line="78"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Any delay in obtaining, or inability to obtain, approval through the Accelerated Approval Program, or any issues in maintaining approval granted under the Accelerated Approval Program, would delay or prevent commercialization of our products, and would materially adversely affect our business, financial condition, results of operations and prospects.</w:t>
      </w:r>
    </w:p>
    <w:p>
      <w:pPr>
        <w:spacing w:after="0" w:line="16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as a company, have limited experience in filing for and obtaining regulatory approval to initiate a clinical trial, and we do not have experience completing any clinical trials, including large-scale, pivotal clinical trials or in manufacturing or in quality assurance in order to market a new drug in the United States or in any other jurisdiction.</w:t>
      </w:r>
    </w:p>
    <w:p>
      <w:pPr>
        <w:spacing w:after="0" w:line="6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As a company, we have limited experience in filing for or obtaining regulatory approval to initiate clinical trials, we do not have experience completing any clinical trials, including large-scale, pivotal clinical trials and we rely on third parties to conduct our clinical trials. We also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to successfully complete clinical trials and to obtain marketing approval for our drug candidates. If we are unable to obtain regulatory and marketing approval for our drug candidates or experience significant delays in our efforts to do so, our business could be substantially harmed.</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drug candidates from being marketed abroad and may limit our ability to generate revenue from product sales.</w:t>
      </w:r>
    </w:p>
    <w:p>
      <w:pPr>
        <w:spacing w:after="0" w:line="51" w:lineRule="exact"/>
        <w:rPr>
          <w:sz w:val="20"/>
          <w:szCs w:val="20"/>
          <w:color w:val="auto"/>
        </w:rPr>
      </w:pPr>
    </w:p>
    <w:p>
      <w:pPr>
        <w:ind w:right="160" w:firstLine="648"/>
        <w:spacing w:after="0" w:line="243" w:lineRule="auto"/>
        <w:rPr>
          <w:sz w:val="20"/>
          <w:szCs w:val="20"/>
          <w:color w:val="auto"/>
        </w:rPr>
      </w:pPr>
      <w:r>
        <w:rPr>
          <w:rFonts w:ascii="Times New Roman" w:cs="Times New Roman" w:eastAsia="Times New Roman" w:hAnsi="Times New Roman"/>
          <w:sz w:val="18"/>
          <w:szCs w:val="18"/>
          <w:color w:val="auto"/>
        </w:rPr>
        <w:t>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approvals from foreign regulatory authorities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The UK’s exit from the EU continues to create political and economic uncertainty, particularly in the UK and the EU. The UK is now being treated as a “third country” by the EU. Although UK legislation has retained existing EU law, new UK legislation is being drafted and the UK has not retained new EU law, including the Clinical Trials Regulation (EU) No 536/2014. This means that some regulatory activities, such as batch testing and Qualified Person certification, conducted in the UK are no longer recognized in the EU; although the UK accepts the batch testing data carried out in many third countries with recognized equivalent high standards to avoid delays and supply disruption due to re-testing.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in the regulation of medicines (although divergence has appeared in some areas). However, some changes to the UK legislation have been immediately necessary, including the implementation of the Northern Ireland Protocol (NIP), pursuant to which, the EU pharmaceutical legal framework acquis continues to apply in Northern Ireland (subject to periodic consent of the Northern Ireland Legislative Assembly), and only products compliant with EU law can be placed in the Northern Ireland market—adding an extra layer of regulatory complexity. As a result, companies now need to comply with a separate UK regulatory legal framework in order to commercialize medicinal products in Great Britain (namely, England, Wales and Scotland, as EU law continues to apply in Northern Ireland). The UK government has attempted to renegotiate fundamental aspects of the NIP so this is an unpredictable area for companies in the near future. Failed attempts to renegotiate the NIP have led to media reports of the UK potentially triggering Article 16 of the NIP, a safeguarding measure, that may be engaged unilaterally if the application of the NIP leads to serious economic, societal or environmental difficulties that are liable to persist, or to diversion of trade. The UK government has introduced the Northern Ireland Protocol Bill which, if enacted into law, would enable the government to unilaterally disapply parts of the NIP which may lead to changes to the regulatory environment in Northern Ireland, and may trigger retaliatory measures against the UK by the EU. The UK government reached a new agreement with the EU, the “Windsor Framework,” which aims to amend the NIP.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 These new measures will be implemented beginning January 1, 2025. The TCA allows for future deviation from the current regulatory framework, and it is not known if and/or when any deviations may occur, which may have an impact on development, manufacture, 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“—Governments outside of the United States tend to impose strict price controls, which may adversely affect our revenues from the sales of drugs, if any” below). If we fail to comply with the regulatory requirements in international markets and thus do not receive applicable marketing approvals, our target market will be reduced, our ability to realize the full market potential of our drug candidates will be harmed and our business will be adversely affected. We may not obtain foreign regulatory approvals on a timely basis, or at all. Our failure to obtain approval of any of our drug candidates by regulatory authorities in another country may significantly diminish the commercial prospects of that drug candidate and our business prospects could decline.</w:t>
      </w:r>
    </w:p>
    <w:p>
      <w:pPr>
        <w:spacing w:after="0" w:line="20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or any collaborators, obtain marketing approvals for our drug candidates, the terms of approvals and ongoing regulation of our products may limit how we, or they, manufacture and market our products, which could materially impair our ability to generate revenue.</w:t>
      </w:r>
    </w:p>
    <w:p>
      <w:pPr>
        <w:spacing w:after="0" w:line="5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87" w:lineRule="exact"/>
        <w:rPr>
          <w:sz w:val="20"/>
          <w:szCs w:val="20"/>
          <w:color w:val="auto"/>
        </w:rPr>
      </w:pPr>
    </w:p>
    <w:p>
      <w:pPr>
        <w:jc w:val="both"/>
        <w:ind w:right="80" w:firstLine="648"/>
        <w:spacing w:after="0" w:line="246"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EMA, MHRA and other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and other regulatory agencies to monitor and ensure compliance with cGMPs.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60" w:firstLine="648"/>
        <w:spacing w:after="0" w:line="258" w:lineRule="auto"/>
        <w:rPr>
          <w:sz w:val="20"/>
          <w:szCs w:val="20"/>
          <w:color w:val="auto"/>
        </w:rPr>
      </w:pPr>
      <w:r>
        <w:rPr>
          <w:rFonts w:ascii="Times New Roman" w:cs="Times New Roman" w:eastAsia="Times New Roman" w:hAnsi="Times New Roman"/>
          <w:sz w:val="18"/>
          <w:szCs w:val="18"/>
          <w:color w:val="auto"/>
        </w:rPr>
        <w:t>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w:t>
      </w:r>
    </w:p>
    <w:p>
      <w:pPr>
        <w:spacing w:after="0" w:line="6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results of operations, financial condition and prospects.</w:t>
      </w:r>
    </w:p>
    <w:p>
      <w:pPr>
        <w:spacing w:after="0" w:line="173"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67"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the MHRA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tracking and tracing,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w:t>
      </w:r>
    </w:p>
    <w:p>
      <w:pPr>
        <w:spacing w:after="0" w:line="77"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discover that the drug is less effective than previously believed or causes undesirable side effects that were not previously identified, a number of potentially significant negative consequences could result, including:</w:t>
      </w:r>
    </w:p>
    <w:p>
      <w:pPr>
        <w:spacing w:after="0" w:line="69"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drug or seize the drug;</w:t>
      </w:r>
    </w:p>
    <w:p>
      <w:pPr>
        <w:spacing w:after="0" w:line="103"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recall the drug, change the way the drug is administered or conduct additional clinical trials;</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drug;</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03"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create a Medication Guide outlining the risks of the previously unidentified side effects for distribution to patients;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could be sued and held liable for harm caused to patients;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may become less competitive in the marketplace; and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events could have a material and adverse effect on our operations and business and could adversely impact our stock price.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The FDA also may impose requirements for costly post-marketing studies or clinical trials and surveillance to monitor the safety or efficacy of the product, including the adoption and implementation of REMS. The FDA and other agencies, including the U.S. Department of Justice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Other jurisdictions, including European countries, have similar provisions which may lead to investigations and enforcement actions by national authorities.</w:t>
      </w:r>
    </w:p>
    <w:p>
      <w:pPr>
        <w:spacing w:after="0" w:line="77"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68"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04" w:lineRule="exact"/>
        <w:rPr>
          <w:sz w:val="20"/>
          <w:szCs w:val="20"/>
          <w:color w:val="auto"/>
        </w:rPr>
      </w:pPr>
    </w:p>
    <w:p>
      <w:pPr>
        <w:ind w:right="200" w:firstLine="648"/>
        <w:spacing w:after="0" w:line="264" w:lineRule="auto"/>
        <w:rPr>
          <w:sz w:val="20"/>
          <w:szCs w:val="20"/>
          <w:color w:val="auto"/>
        </w:rPr>
      </w:pPr>
      <w:r>
        <w:rPr>
          <w:rFonts w:ascii="Times New Roman" w:cs="Times New Roman" w:eastAsia="Times New Roman" w:hAnsi="Times New Roman"/>
          <w:sz w:val="17"/>
          <w:szCs w:val="17"/>
          <w:color w:val="auto"/>
        </w:rPr>
        <w:t>Non-compliance with EU and UK requirements regarding safety monitoring or pharmacovigilance, and with requirements related to the development of products for the pediatric population (as explained further under “—If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w:t>
      </w:r>
    </w:p>
    <w:p>
      <w:pPr>
        <w:spacing w:after="0" w:line="60"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received Orphan Drug Designation for bexobrutideg (NX-5948) and may seek Orphan Drug Designation for other drug candidates in the future. If we decide to seek Orphan Drug Designation or other designations from regulators for any of our other or future drug candidates, we may be unsuccessful or may be unable to maintain the benefits associated with these designations, including the potential for supplemental market exclusivity associated with an Orphan Drug Designation.</w:t>
      </w:r>
    </w:p>
    <w:p>
      <w:pPr>
        <w:spacing w:after="0" w:line="7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In March 2025, the FDA granted Orphan Drug Designation to bexobrutideg (NX-5948) for the treatment of Waldenström macroglobulinemia, and in June 2025, the EMA granted Orphan Drug Designation to bexobrutideg for the treatment of adult patients with lymphoplasmacytic lymphoma, of which Waldenström macroglobulinemia is the most common subtype. As part of our business strategy, we may also seek Orphan Drug Designation or other designations from regulators for other of our current or future drug candidates. Regulatory authorities in some jurisdictions, including the United States, EU and European Economic Area (EEA), Switzerland and the UK,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process.</w:t>
      </w:r>
    </w:p>
    <w:p>
      <w:pPr>
        <w:spacing w:after="0" w:line="77"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7"/>
          <w:szCs w:val="17"/>
          <w:color w:val="auto"/>
        </w:rPr>
        <w:t>If a product that has Orphan Drug Designation subsequently receives the first FDA approval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drug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spacing w:after="0" w:line="59" w:lineRule="exact"/>
        <w:rPr>
          <w:sz w:val="20"/>
          <w:szCs w:val="20"/>
          <w:color w:val="auto"/>
        </w:rPr>
      </w:pPr>
    </w:p>
    <w:p>
      <w:pPr>
        <w:jc w:val="both"/>
        <w:ind w:right="440" w:firstLine="648"/>
        <w:spacing w:after="0" w:line="258" w:lineRule="auto"/>
        <w:rPr>
          <w:sz w:val="20"/>
          <w:szCs w:val="20"/>
          <w:color w:val="auto"/>
        </w:rPr>
      </w:pPr>
      <w:r>
        <w:rPr>
          <w:rFonts w:ascii="Times New Roman" w:cs="Times New Roman" w:eastAsia="Times New Roman" w:hAnsi="Times New Roman"/>
          <w:sz w:val="18"/>
          <w:szCs w:val="18"/>
          <w:color w:val="auto"/>
        </w:rPr>
        <w:t>In addition, Congress is considering updates to the orphan drug provisions of the FDCA in response to a 2021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spacing w:after="0" w:line="6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may seek Orphan Drug Designation for our drug candidates in additional orphan indications in which there is a medically plausible basis for the use of these drug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may seek Orphan Drug Designation for other drug candidates, we may never receive these designations.</w:t>
      </w:r>
    </w:p>
    <w:p>
      <w:pPr>
        <w:spacing w:after="0" w:line="69"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In order to obtain orphan designation in the EEA (the UK has a similar legislation), the product must fulfill certain criteria. Under Article 3 of Regulation (EC) 141/2000, a medicinal product may be designated as an orphan medicinal product if it meets the following criteria: (1) it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648"/>
        <w:spacing w:after="0" w:line="260" w:lineRule="auto"/>
        <w:rPr>
          <w:sz w:val="20"/>
          <w:szCs w:val="20"/>
          <w:color w:val="auto"/>
        </w:rPr>
      </w:pPr>
      <w:r>
        <w:rPr>
          <w:rFonts w:ascii="Times New Roman" w:cs="Times New Roman" w:eastAsia="Times New Roman" w:hAnsi="Times New Roman"/>
          <w:sz w:val="17"/>
          <w:szCs w:val="17"/>
          <w:color w:val="auto"/>
        </w:rPr>
        <w:t>Products receiving orphan designation in the EU may receive 10 years of orphan market exclusivity (which can be further extended by two years if pediatric studies have been conducted in accordance with an agreed pediatric investigational plan). Applications must first satisfy the orphan designation criteria and apply for orphan designation before making the application for marketing authorization. The applicant must then successfully maintain the orphan designation at the time of the MAA in order to qualify for 10 years of orphan market exclusivity. During this 10-year period, the competent authorities of the EU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“off-label” for the orphan therapeutic indication by healthcare professions in some EU Member States.</w:t>
      </w:r>
    </w:p>
    <w:p>
      <w:pPr>
        <w:spacing w:after="0" w:line="7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are also three exceptions to the orphan market exclusivity principle. Marketing authorization may be granted to a similar medicinal product for the same orphan therapeutic indication if:</w:t>
      </w:r>
    </w:p>
    <w:p>
      <w:pPr>
        <w:spacing w:after="0" w:line="54" w:lineRule="exact"/>
        <w:rPr>
          <w:sz w:val="20"/>
          <w:szCs w:val="20"/>
          <w:color w:val="auto"/>
        </w:rPr>
      </w:pPr>
    </w:p>
    <w:p>
      <w:pPr>
        <w:ind w:left="980" w:right="52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40" w:lineRule="exact"/>
        <w:rPr>
          <w:rFonts w:ascii="Times New Roman" w:cs="Times New Roman" w:eastAsia="Times New Roman" w:hAnsi="Times New Roman"/>
          <w:sz w:val="18"/>
          <w:szCs w:val="18"/>
          <w:color w:val="auto"/>
        </w:rPr>
      </w:pPr>
    </w:p>
    <w:p>
      <w:pPr>
        <w:ind w:left="980" w:right="880" w:hanging="324"/>
        <w:spacing w:after="0" w:line="266"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consents to a second orphan medicinal product application; or</w:t>
      </w:r>
    </w:p>
    <w:p>
      <w:pPr>
        <w:spacing w:after="0" w:line="67"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cannot supply sufficient quantities of orphan medicinal product.</w:t>
      </w:r>
    </w:p>
    <w:p>
      <w:pPr>
        <w:spacing w:after="0" w:line="5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An orphan product can also obtain an additional two years of orphan market exclusivity in the EU if the MAA contains the results of all pediatric studies conducted in accordance with and agreed pediatric investigation plan.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83"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UK’s regulatory legal framework provides for similar periods of protection (namely regulatory data protection, marketing protection and market exclusivity).</w:t>
      </w:r>
    </w:p>
    <w:p>
      <w:pPr>
        <w:spacing w:after="0" w:line="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It is important to note that the regulatory protection afforded to medicinal products such as data exclusivity, marketing protection, market</w:t>
      </w:r>
    </w:p>
    <w:p>
      <w:pPr>
        <w:spacing w:after="0" w:line="2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exclusivity for orphan indications and pediatric extension are currently under review at the EU level. It is expected that the protection currently afforded in the EU will be reduced in the years to come. On April 26, 2023, the European Commission adopted a proposal for a new Directive and a new Regulation. If enacted into law, this proposal will revise and replace the existing general pharmaceutical legislation and will affect the existing period of regulatory protections afforded to medicinal products. The proposal is now undergoing the legislative process and the text of the initial proposal is likely to be amended by the European Parliament and the European Council.</w:t>
      </w:r>
    </w:p>
    <w:p>
      <w:pPr>
        <w:spacing w:after="0" w:line="180"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spacing w:after="0" w:line="6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drug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candidate. This three-year exclusivity covers only the conditions associated with the new clinical investigations and does not prohibit the FDA from approving ANDAs for drug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spacing w:after="0" w:line="77"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18"/>
          <w:szCs w:val="18"/>
          <w:color w:val="auto"/>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spacing w:after="0" w:line="19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drug candidates are not considered to be a new active substance or are deemed to fall within the “global marketing authorization” of an existing medicinal product or if pediatric studies are not adequately completed, such drug candidates may fail to obtain regulatory data protection or an extension to existing regulatory data protection.</w:t>
      </w:r>
    </w:p>
    <w:p>
      <w:pPr>
        <w:spacing w:after="0" w:line="6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and EEA). During this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MAA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MAA based on a full self-standing scientific data package supporting the application. The period of regulatory data protection and marketing protection applies in the UK (running from the date of the first authorization in Great Britain).</w:t>
      </w:r>
    </w:p>
    <w:p>
      <w:pPr>
        <w:spacing w:after="0" w:line="76"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In the EU, pursuant to Regulation 1901/2006, and in the UK pursuant to the Human Medicines Regulations 2012 (as amended), MAAs must include pediatric data based on pediatric investigation plans agreed with the EMA if the MAA concerns (i) a new active substance, or (ii) a new indication, pharmacological form, or route of administration (where the product is protected by an SPC or a patent qualifying for an SPC).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SPC may be entitled to a six-month extension to the SPC. Additionally, the European Commission’s new proposed legislation, if implemented, will also affect the current EU legal framework of pediatric medicines.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spacing w:after="0" w:line="67"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Our arrangements with third-party payors, physicians, and other potential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Applicable U.S. federal and state and non-U.S. healthcare laws and regulations include the following:</w:t>
      </w:r>
    </w:p>
    <w:p>
      <w:pPr>
        <w:spacing w:after="0" w:line="104" w:lineRule="exact"/>
        <w:rPr>
          <w:sz w:val="20"/>
          <w:szCs w:val="20"/>
          <w:color w:val="auto"/>
        </w:rPr>
      </w:pPr>
    </w:p>
    <w:p>
      <w:pPr>
        <w:ind w:left="980" w:hanging="324"/>
        <w:spacing w:after="0" w:line="245"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p>
      <w:pPr>
        <w:spacing w:after="0" w:line="86" w:lineRule="exact"/>
        <w:rPr>
          <w:rFonts w:ascii="Times New Roman" w:cs="Times New Roman" w:eastAsia="Times New Roman" w:hAnsi="Times New Roman"/>
          <w:sz w:val="18"/>
          <w:szCs w:val="18"/>
          <w:color w:val="auto"/>
        </w:rPr>
      </w:pPr>
    </w:p>
    <w:p>
      <w:pPr>
        <w:ind w:left="980" w:right="100" w:hanging="324"/>
        <w:spacing w:after="0" w:line="243"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which may be enforced through civil whistleblower or qui tam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w:t>
      </w:r>
    </w:p>
    <w:p>
      <w:pPr>
        <w:spacing w:after="0" w:line="78" w:lineRule="exact"/>
        <w:rPr>
          <w:rFonts w:ascii="Times New Roman" w:cs="Times New Roman" w:eastAsia="Times New Roman" w:hAnsi="Times New Roman"/>
          <w:sz w:val="18"/>
          <w:szCs w:val="18"/>
          <w:color w:val="auto"/>
        </w:rPr>
      </w:pPr>
    </w:p>
    <w:p>
      <w:pPr>
        <w:ind w:left="980" w:right="120" w:hanging="324"/>
        <w:spacing w:after="0" w:line="250"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spacing w:after="0" w:line="69" w:lineRule="exact"/>
        <w:rPr>
          <w:rFonts w:ascii="Times New Roman" w:cs="Times New Roman" w:eastAsia="Times New Roman" w:hAnsi="Times New Roman"/>
          <w:sz w:val="18"/>
          <w:szCs w:val="18"/>
          <w:color w:val="auto"/>
        </w:rPr>
      </w:pPr>
    </w:p>
    <w:p>
      <w:pPr>
        <w:ind w:left="980" w:right="280" w:hanging="324"/>
        <w:spacing w:after="0" w:line="250"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healthcare benefits;</w:t>
      </w:r>
    </w:p>
    <w:p>
      <w:pPr>
        <w:spacing w:after="0" w:line="69" w:lineRule="exact"/>
        <w:rPr>
          <w:rFonts w:ascii="Times New Roman" w:cs="Times New Roman" w:eastAsia="Times New Roman" w:hAnsi="Times New Roman"/>
          <w:sz w:val="18"/>
          <w:szCs w:val="18"/>
          <w:color w:val="auto"/>
        </w:rPr>
      </w:pPr>
    </w:p>
    <w:p>
      <w:pPr>
        <w:jc w:val="both"/>
        <w:ind w:left="980" w:right="140" w:hanging="324"/>
        <w:spacing w:after="0" w:line="258"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Clinical Health Act,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61" w:lineRule="exact"/>
        <w:rPr>
          <w:rFonts w:ascii="Times New Roman" w:cs="Times New Roman" w:eastAsia="Times New Roman" w:hAnsi="Times New Roman"/>
          <w:sz w:val="18"/>
          <w:szCs w:val="18"/>
          <w:color w:val="auto"/>
        </w:rPr>
      </w:pPr>
    </w:p>
    <w:p>
      <w:pPr>
        <w:ind w:left="980" w:right="500" w:hanging="324"/>
        <w:spacing w:after="0" w:line="258"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and Public Health Service Act which among other things, strictly regulates drug marketing, prohibits manufacturers from marketing such products for off-label use or misbranding or adulterating their products, and regulates the distribution of samples;</w:t>
      </w:r>
    </w:p>
    <w:p>
      <w:pPr>
        <w:spacing w:after="0" w:line="61" w:lineRule="exact"/>
        <w:rPr>
          <w:rFonts w:ascii="Times New Roman" w:cs="Times New Roman" w:eastAsia="Times New Roman" w:hAnsi="Times New Roman"/>
          <w:sz w:val="18"/>
          <w:szCs w:val="18"/>
          <w:color w:val="auto"/>
        </w:rPr>
      </w:pPr>
    </w:p>
    <w:p>
      <w:pPr>
        <w:jc w:val="both"/>
        <w:ind w:left="980" w:right="40" w:hanging="324"/>
        <w:spacing w:after="0" w:line="258"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w:t>
      </w:r>
    </w:p>
    <w:p>
      <w:pPr>
        <w:spacing w:after="0" w:line="61" w:lineRule="exact"/>
        <w:rPr>
          <w:rFonts w:ascii="Times New Roman" w:cs="Times New Roman" w:eastAsia="Times New Roman" w:hAnsi="Times New Roman"/>
          <w:sz w:val="18"/>
          <w:szCs w:val="18"/>
          <w:color w:val="auto"/>
        </w:rPr>
      </w:pPr>
    </w:p>
    <w:p>
      <w:pPr>
        <w:ind w:left="980" w:right="60" w:hanging="324"/>
        <w:spacing w:after="0" w:line="246"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teaching hospitals, physician assistants, nurse practitioners, clinical nurse specialists, certified nurse anesthetists, anesthesiologist assistants and certified nurse-midwives, as well as certain ownership and investment interests held in the manufacturer by physicians and their immediate families;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160" w:hanging="324"/>
        <w:spacing w:after="0" w:line="258"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w:t>
      </w:r>
    </w:p>
    <w:p>
      <w:pPr>
        <w:spacing w:after="0" w:line="6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pharmaceutical companies to comply with the pharmaceutical industry’s voluntary compliance guidelines and relevant compliance guidance promulgated by the federal government;</w:t>
      </w:r>
    </w:p>
    <w:p>
      <w:pPr>
        <w:spacing w:after="0" w:line="67" w:lineRule="exact"/>
        <w:rPr>
          <w:rFonts w:ascii="Times New Roman" w:cs="Times New Roman" w:eastAsia="Times New Roman" w:hAnsi="Times New Roman"/>
          <w:sz w:val="18"/>
          <w:szCs w:val="18"/>
          <w:color w:val="auto"/>
        </w:rPr>
      </w:pPr>
    </w:p>
    <w:p>
      <w:pPr>
        <w:ind w:left="980" w:right="520" w:hanging="324"/>
        <w:spacing w:after="0" w:line="266"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drug manufacturers to report information related to payments and other transfers of value to physicians and other healthcare providers or marketing expenditures;</w:t>
      </w:r>
    </w:p>
    <w:p>
      <w:pPr>
        <w:spacing w:after="0" w:line="54" w:lineRule="exact"/>
        <w:rPr>
          <w:rFonts w:ascii="Times New Roman" w:cs="Times New Roman" w:eastAsia="Times New Roman" w:hAnsi="Times New Roman"/>
          <w:sz w:val="18"/>
          <w:szCs w:val="18"/>
          <w:color w:val="auto"/>
        </w:rPr>
      </w:pPr>
    </w:p>
    <w:p>
      <w:pPr>
        <w:ind w:left="980" w:right="120" w:hanging="324"/>
        <w:spacing w:after="0" w:line="250"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laws that prohibit various marketing-related activities, such as the provision of certain kinds of gifts or meals; require the reporting of certain pricing information, including information pertaining to and justifying price increases, or prohibit prescription drug price gouging; impose payment caps on certain pharmaceutical products deemed by the state to be “high cost”; and require the registration of pharmaceutical sales representatives; and</w:t>
      </w:r>
    </w:p>
    <w:p>
      <w:pPr>
        <w:spacing w:after="0" w:line="82"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54"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w:t>
      </w:r>
    </w:p>
    <w:p>
      <w:pPr>
        <w:spacing w:after="0" w:line="7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Providing benefits or advantages to induce or reward improper performance generally to induce or encourage the prescription, recommendation, endorsement, purchase, supply, order or use of medicinal products is prohibited in the EU and the UK. The provision of benefits or advantages to induce or reward improper performance is governed by the national anti-bribery laws of EU Member States, and with respect to the UK, the UK Bribery Act 2010 (Bribery Act). Infringement of these laws may result in substantial fines and imprisonment. EU Directive 2001/83/EC, which is the EU Directive governing medicinal products for human use, provides that, where medicinal products are being promoted to healthcare professionals, no gifts, pecuniary advantages or benefits in kind may be supplied, offered or promised to such individuals unless they are inexpensive and relevant to the practice of medicine or pharmacy. This provision was transposed into the Human Medicines Regulations 2012 and as such remains applicable in the UK.</w:t>
      </w:r>
    </w:p>
    <w:p>
      <w:pPr>
        <w:spacing w:after="0" w:line="73"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These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spacing w:after="0" w:line="191"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may slow the time necessary for new products to be reviewed and/or approved, which would adversely affect our business. In addition, there is substantial uncertainty regarding new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adversely affect our business.</w:t>
      </w:r>
    </w:p>
    <w:p>
      <w:pPr>
        <w:spacing w:after="0" w:line="72"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Disruptions at the FDA may slow the time necessary for new products to be reviewed and/or approved, which would adversely affect our business. Changes in FDA staffing could result in delays in the FDA’s responsiveness or in its ability to review submissions or applications, issue regulations or guidance, or implement or enforce regulatory requirements in a timely fashion or at all. If any legislation, executive orders, or lapses in agency funding impose constraints on the FDA’s ability to engage in oversight and implementation activities in the normal course, our business may be negatively impacted.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Similar consequences would also result in the event of another significant shutdown of the federal government. For example, in 2025, the U.S. government was on the verge of a shutdown and has previously shut down several times, and certain regulatory agencies, such as the FDA, had to furlough critical employees and stop critical activities. If a prolonged government shutdown occurs, or if geopolitical or global health concerns prevent the FDA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72"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FDA-regulated industries, such as ours, face uncertainty with regard to the regulatory environment we will face as we proceed with research and development, and possibly in future commercialization. Some of these efforts have manifested to date in the form of FDA reductions in workforce or other personnel measures that could impact the FDA’s ability to hire and retain key personnel, which could result in delays or limitations on our ability to obtain guidance from the FDA on our product candidates in development and obtain the requisite regulatory approvals in the future. Moreover, additional changes to budget and staffing of other governmental agencies, including but not limited to those within the Department of Health and Human Services (HHS), could affect development activities such as enrollment and conduct of clinical trials.</w:t>
      </w:r>
    </w:p>
    <w:p>
      <w:pPr>
        <w:spacing w:after="0" w:line="72"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There remains general uncertainty regarding future activities. New executive orders, regulations, policies or guidance could be issued or promulgated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there could be a material adverse effect on us and our business.</w:t>
      </w:r>
    </w:p>
    <w:p>
      <w:pPr>
        <w:spacing w:after="0" w:line="87"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Further, in connection with new initiatives, 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judicial or administrative or executive action, either in the United States or abroad.</w:t>
      </w:r>
    </w:p>
    <w:p>
      <w:pPr>
        <w:spacing w:after="0" w:line="17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and any collaborators, to obtain marketing approval of and commercialize our drug candidates and affect the prices we, or they, may obtain.</w:t>
      </w:r>
    </w:p>
    <w:p>
      <w:pPr>
        <w:spacing w:after="0" w:line="5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biopharmaceutical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FDA-approved product.</w:t>
      </w:r>
    </w:p>
    <w:p>
      <w:pPr>
        <w:spacing w:after="0" w:line="72"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To date, there have been several U.S. congressional inquiries and proposed and enacted state and federal legislation and regulations designed to, among other things, bring more transparency to drug pricing, review the relationship between pricing and manufacturer patient support programs, reduce the costs of drugs under Medicare and reform government program reimbursement methodologies for drug products. Most notably, the Inflation Reduction Act (IRA), which was signed into law on August 16, 2022, allows Medicare to: beginning in 2026, establish a “maximum fair price” for a fixed number of pharmaceutical and biological products covered under Medicare Parts B and D following a price negotiation process with the Centers for Medicare and Medicaid Services (CMS); and, beginning in 2023, penalize drug companies that raise prices for products covered under Medicare Parts B and D faster than inflation, among other reforms. Since its enactment, CMS has taken steps to implement various drug pricing provisions of the IRA. This includes, without limitation, releasing the negotiated maximum prices, which will be effective in 2026, for the first ten drugs that were subject to the IRA’s negotiation process, releasing quarterly lists of Medicare Part B products that are subject to adjusted coinsurance rates based on the inflationary rebate provisions of the IRA, and announcing a list of fifteen additional drugs that will be subject to price negotiations during 2025.</w:t>
      </w:r>
    </w:p>
    <w:p>
      <w:pPr>
        <w:spacing w:after="0" w:line="78"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It is unclear how future regulatory actions to implement the IRA, as well as the outcome of pending litigation against the IRA, may affect our products and future profitability, and we cannot predict the likelihood, nature, or extent of other health reform initiatives that may arise from future legislation or administrative actions.</w:t>
      </w:r>
    </w:p>
    <w:p>
      <w:pPr>
        <w:spacing w:after="0" w:line="6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Moreover, the results of the 2024 Presidential and Congressional elections, and potential subsequent developments, increase the uncertainty related to the healthcare regulatory environment. Notably, recent actions taken by the Trump Administration have indicated that reducing prescription drug prices is a priority. For example, President Trump has signed multiple executive orders addressing prescription drug pricing and access, including: on April 15, 2025, outlining several actions the Secretary of the Department of HHS must take to optimize healthcare regulations that will provide access to prescription drugs at lower costs; on May 5, 2025, aiming to promote domestic production of critical medicines; and on May 12, 2025, aiming to establish a “most favored nation” drug pricing policy that would tie U.S. drug prices to the prices paid for drugs in other countries. Further, the current administration has suggested that it may impose tariffs on pharmaceuticals.</w:t>
      </w:r>
    </w:p>
    <w:p>
      <w:pPr>
        <w:spacing w:after="0" w:line="87"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18"/>
          <w:szCs w:val="18"/>
          <w:color w:val="auto"/>
        </w:rPr>
        <w:t>In addition, on June 28, 2024, the U.S. Supreme Court issued an opinion holding that courts reviewing agency action pursuant to the APA “must exercise their independent judgment” and “may not defer to an agency interpretation of the law simply because a statute is ambiguous.” The decision will have a significant impact on how lower courts evaluate challenges to agency interpretations of law, including those by CMS and other agencies with significant oversight of the healthcare industry. For additional information, see the risk factor above titled “The biopharmaceutical industry is subject to extensive regulatory obligations and policies that are subject to change, including due to judicial challenges.”</w:t>
      </w:r>
    </w:p>
    <w:p>
      <w:pPr>
        <w:spacing w:after="0" w:line="7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For example, on January 5, 2024, the FDA approved Florida’s importation plan, which allows pharmacists and wholesalers to import certain products from Canada.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Another emerging trend at the state level is the establishment of prescription drug affordability boards, some of which will prospectively permit certain states to establish upper payment limits for drugs that the state has determined to be “high-cost.”</w:t>
      </w:r>
    </w:p>
    <w:p>
      <w:pPr>
        <w:spacing w:after="0" w:line="77"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from the sales of drugs, if any.</w:t>
      </w:r>
    </w:p>
    <w:p>
      <w:pPr>
        <w:spacing w:after="0" w:line="121"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an HTA to assess the cost-effectiveness of the product (in the UK that HTA assessment is conducted by the National Institute for Health and Care Excellence), which may significantly impact effective access to the market. If reimbursement of our drugs is unavailable or limited in scope or amount, or if pricing is set at unsatisfactory levels, our business could be materially harmed.</w:t>
      </w:r>
    </w:p>
    <w:p>
      <w:pPr>
        <w:spacing w:after="0" w:line="73"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In particular, following the executive order of the Trump Administration of May 12, 2025, titled “Delivering Most-Favored-Nation Prescription Drug Pricing to American Patients,” there may be an unpredictable effect on prices of medicinal products in European countries. The Executive Order directs federal agencies to implement policies that would align U.S. prescription drug prices with the lowest prices paid by other comparable nations and mandates the Secretary of HHS to communicate most-favored-nation (MFN) price targets to pharmaceutical manufacturers and, if significant progress is not achieved, to propose rulemaking to impose MFN pricing across federal healthcare programs and potentially the private market. While the full scope and implementation timeline remain uncertain, this policy introduces significant risks to our future pricing strategies, revenue, and profitability in the U.S. market. Additionally, the Executive Order instructs the Department of Commerce and the U.S. Trade Representative to take action against foreign countries that engage in practices suppressing drug prices below fair market value, which could lead to increased pricing pressures or regulatory changes in international markets. These developments, depending on whether and how they may be enacted, may adversely affect our global operations and financial performance.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Employees, Managing our Growth and Other Legal Matters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5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Our ability to compete in the highly competitive biopharmaceuticals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and Chief Scientific Officer, Gwenn Hansen, Ph.D. The loss of the services of Dr. Sands, Dr. Hansen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78"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w:t>
      </w:r>
    </w:p>
    <w:p>
      <w:pPr>
        <w:spacing w:after="0" w:line="83"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unable to attract and retain the necessary personnel to accomplish our business objectives, we may experience constraints that will harm our ability to implement our business strategy and achieve our business objectives.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our organization, and we may experience difficulties in managing this growth, which could disrupt our operations.</w:t>
      </w:r>
    </w:p>
    <w:p>
      <w:pPr>
        <w:spacing w:after="0" w:line="12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in December 2020 and currently have three drug candidates in ongoing Phase 1 trials, and expect to advance our drug candidate bexobrutideg (NX-5948) to a Phase 2 clinical trial in 2025.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w:t>
      </w:r>
    </w:p>
    <w:p>
      <w:pPr>
        <w:spacing w:after="0" w:line="18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51"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40" w:lineRule="exact"/>
        <w:rPr>
          <w:sz w:val="20"/>
          <w:szCs w:val="20"/>
          <w:color w:val="auto"/>
        </w:rPr>
      </w:pPr>
    </w:p>
    <w:p>
      <w:pPr>
        <w:ind w:left="980" w:right="460" w:hanging="324"/>
        <w:spacing w:after="0" w:line="266"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reckless or negligent conduct or disclosure to us of unauthorized activities that violate the regulations of the FDA or similar foreign regulatory authorities;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fraud and abuse in violation of U.S. and foreign laws and regulations;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U.S. federal securities laws relating to trading in our common stock; and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report financial information or data accurately.</w:t>
      </w:r>
    </w:p>
    <w:p>
      <w:pPr>
        <w:spacing w:after="0" w:line="11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and diminished profits and future earnings, any of which could adversely affect our ability to operate our business or cause reputational harm.</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72"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infrastructure and data to operate our business. In the ordinary course of our business, we collect, store and transmit large amounts of confidential and sensitive information, including but not limited to intellectual property, proprietary business information and personal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third-party vendors that may or could have access to our information.</w:t>
      </w:r>
    </w:p>
    <w:p>
      <w:pPr>
        <w:spacing w:after="0" w:line="73"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infrastructure, and those of our current and any future CROs, collaborators, contractors and consultants and other third parties on which we rely, are vulnerable to breach,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distributed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or lead to data leakage of our system infrastructure, or that of our CROs, third-party vendors and other contractors and consultants.</w:t>
      </w:r>
    </w:p>
    <w:p>
      <w:pPr>
        <w:spacing w:after="0" w:line="87"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and remote work applications that access confidential information increases the risk of data security breaches, which could lead to the loss of confidential information or other intellectual property or unauthorized access to personal information. To the extent that any disruption or security breach were to result in a loss of, or damage to, our data or applications, or those of our third-party vendors, CROs and other contractors and consultants, or inappropriate disclosure of confidential, personal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and continue to invest in and implement security measures designed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CROs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CROs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CROs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or sensitive information (including trade secrets or other intellectual property, proprietary business information, and personal information), which could result in financial, legal, business, and reputational harm to us. If any such event, including a security breach, results in the unauthorized access, use or release of personal information, our reputation could be materially damaged. In addition, such a breach may require notification to governmental agencies, the media or individuals pursuant to various federal and state data privacy and security laws (and other similar international laws), subject us to mandatory corrective action, and otherwise subject us to liability under laws and regulations that protect the privacy and security of personal information. For example, data breaches frequently result in regulatory actions and commercial and class action litigation based on a variety of laws and legal duties, such as the California Consumer Privacy Act, as later amended by the California Privacy Rights Act (CCPA), which provides for a private right of action in the event of certain data security breaches. Additionally, the SEC adopted a cybersecurity disclosure rule requiring companies subject to SEC reporting requirements to formally report material cybersecurity incidents, where failure to report may result in regulatory investigations leading to consent orders that may require additional compliance obligations and/or injunctions, fines and other penalties. Such actions could result in significant legal and financial exposure and reputational damages that could have a material adverse effect on our business, financial condition, results of operations and prospects.</w:t>
      </w:r>
    </w:p>
    <w:p>
      <w:pPr>
        <w:spacing w:after="0" w:line="96"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Currently, we carry business interruption coverage and cybersecurity insurance to mitigate certain potential losses, but this insurance is limited in amount and may not be sufficient in type or amount to cover us against claims related to a cybersecurity breach and related business and system disruptions. We cannot be certain that such potential losses will not exceed our policy limits, insurance will continue to be available to us on economically reasonable terms, or at all, or any insurer will not deny coverage as to any future claim. In addition, we may be subject to changes in our insurance policies, including premium increases or the imposition of large deductible or co-insurance requirements.</w:t>
      </w:r>
    </w:p>
    <w:p>
      <w:pPr>
        <w:spacing w:after="0" w:line="17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obtain and process a large amount of proprietary and sensitive data. Any real or perceived improper use of, disclosure of, or access to such data could harm our reputation, as well as have an adverse effect on our business.</w:t>
      </w:r>
    </w:p>
    <w:p>
      <w:pPr>
        <w:spacing w:after="0" w:line="51"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maintain and process, and our third-party vendors, collaborators, contractors and consultants maintain and process on our behalf, a large quantity of proprietary and sensitive information, including confidential business information, personal and patient health information in connection with our preclinical studies and clinical trials and personal information of our employees.</w:t>
      </w:r>
    </w:p>
    <w:p>
      <w:pPr>
        <w:spacing w:after="0" w:line="6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There is a risk that we could be impacted by a cybersecurity incident that results in loss or unauthorized disclosure of this proprietary and sensitive information, potentially resulting in harm to our reputation and financial losses. Depending on the nature of the information compromised, in the event of a data breach or other unauthorized access to our customer data, we may also have obligations to notify customers and regulators about the incident, and we may need to provide some form of remedy, such as a subscription to credit monitoring services, pay significant fines to one or more regulators, or pay compensation in connection with a class-action settlement. Such breach notification laws continue to evolve and may be inconsistent from one jurisdiction to another. In the United States, the SEC has adopted rules for mandatory disclosure of cybersecurity incidents suffered by public companies, as well as cybersecurity governance and risk management. Complying with these obligations could cause us to incur substantial costs and could increase negative publicity surrounding any incident that compromises customer data.</w:t>
      </w:r>
    </w:p>
    <w:p>
      <w:pPr>
        <w:spacing w:after="0" w:line="92" w:lineRule="exact"/>
        <w:rPr>
          <w:sz w:val="20"/>
          <w:szCs w:val="20"/>
          <w:color w:val="auto"/>
        </w:rPr>
      </w:pPr>
    </w:p>
    <w:p>
      <w:pPr>
        <w:jc w:val="both"/>
        <w:ind w:right="80" w:firstLine="648"/>
        <w:spacing w:after="0" w:line="246" w:lineRule="auto"/>
        <w:rPr>
          <w:sz w:val="20"/>
          <w:szCs w:val="20"/>
          <w:color w:val="auto"/>
        </w:rPr>
      </w:pPr>
      <w:r>
        <w:rPr>
          <w:rFonts w:ascii="Times New Roman" w:cs="Times New Roman" w:eastAsia="Times New Roman" w:hAnsi="Times New Roman"/>
          <w:sz w:val="18"/>
          <w:szCs w:val="18"/>
          <w:color w:val="auto"/>
        </w:rPr>
        <w:t>Any failure or perceived failure by us to comply with these laws may also subject us to enforcement action or litigation, any of which could harm our business. Additionally, the financial exposure from the events referenced above could either not be insured against or not be fully covered through any insurance that we may maintain, and there can be no assurance that the limitations of liability in any of our contracts would be enforceable or adequate or would otherwise protect us from liabilities or damages as a result of the events referenced above. Any of the foregoing could have an adverse effect on our business, reputation, operating results, and financial condition.</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stringent and changing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 and result in enforcement action by regulators and claims from affected individuals.</w:t>
      </w:r>
    </w:p>
    <w:p>
      <w:pPr>
        <w:spacing w:after="0" w:line="72"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18"/>
          <w:szCs w:val="18"/>
          <w:color w:val="auto"/>
        </w:rPr>
        <w:t>We are subject to global privacy and data protection laws and regulations that apply to the collection, transmission, storage and use of personal information, which among other things, impose certain requirements relating to the privacy, security and transmission of personal information. Failure by us or our third-party vendors, CROs, contractors and consultants to comply with any of these laws and regulations could result in enforcement actions by data protection authorities against us, including fines or penalties, claims for damages by affected individuals, damage to our reputation and loss of goodwill, any of which could have a material adverse effect on our business, financial condition, results of operations or prospects.</w:t>
      </w:r>
    </w:p>
    <w:p>
      <w:pPr>
        <w:spacing w:after="0" w:line="87" w:lineRule="exact"/>
        <w:rPr>
          <w:sz w:val="20"/>
          <w:szCs w:val="20"/>
          <w:color w:val="auto"/>
        </w:rPr>
      </w:pPr>
    </w:p>
    <w:p>
      <w:pPr>
        <w:jc w:val="both"/>
        <w:ind w:right="80" w:firstLine="648"/>
        <w:spacing w:after="0" w:line="272" w:lineRule="auto"/>
        <w:rPr>
          <w:sz w:val="20"/>
          <w:szCs w:val="20"/>
          <w:color w:val="auto"/>
        </w:rPr>
      </w:pPr>
      <w:r>
        <w:rPr>
          <w:rFonts w:ascii="Times New Roman" w:cs="Times New Roman" w:eastAsia="Times New Roman" w:hAnsi="Times New Roman"/>
          <w:sz w:val="17"/>
          <w:szCs w:val="17"/>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w:t>
      </w:r>
    </w:p>
    <w:p>
      <w:pPr>
        <w:spacing w:after="0" w:line="64"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HHS has enforcement discretion for HIPAA, and any enforcement activity can result in financial liability and reputational harm, and responses to such enforcement activity can consume significant internal resources. On April 22, 2024, HHS issued a Final Rule, the HIPAA Privacy Rule to Support Reproductive Health Care Privacy, which is intended to strengthen the HIPPA Privacy Rule by prohibiting the disclosure of protected health information related to lawful reproductive healthcare in certain circumstances.</w:t>
      </w:r>
    </w:p>
    <w:p>
      <w:pPr>
        <w:spacing w:after="0" w:line="78"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In addition, states have shown an increased interest in regulating the processing of personal information in general and specifically in the privacy of health data. Washington state passed the My Health My Data Act, which took effect on March 31, 2024, and is focused on the collection of consumer health data. The My Health My Data Act has a broader scope than HIPAA and includes a private right of action—depending on whether this law applies to us, there may be substantial regulatory action and litigation associated with this act. Following Washington, Nevada enacted Senate Bill 370, which also took effect on March 31, 2024, and is similar to the My Health My Data Act and requires in-scope entities to comply with certain requirements regarding consumer health data. Notably, Senate Bill 370 does not include a private right of action nor does it apply to entities that are subject to HIPAA. Connecticut also amended its comprehensive privacy law in 2023, the Connecticut Data Privacy Act, to impose obligations aimed at “consumer health data.” Virginia also recently updated its Consumer Protection Act for certain health information and other states are considering health privacy legislation. Furthermore, state attorneys general are authorized to bring civil actions seeking either injunctions or damages in response to violations that threaten the privacy of state residents pursuant to local state laws.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Personal information privacy remains an evolving landscape at both the U.S. state and international level, with new regulations coming into effect. For example, the CCPA, which came into effect on January 1, 2020, and was amended and expanded by the California Privacy Rights Act as of January 1, 2023, provides California residents expanded privacy rights, including the right to request correction, access, and deletion of their personal information, the right to opt out of personal information sharing with certain third parties for cross-context behavioral advertising purposes, the right to limit the use of sensitive personal information, and the right to receive detailed information about how their personal information is processed, including by California residents’ employers. Additionally, the CCPA, requires companies that process personal information of California residents to make disclosures to consumers about their data collection, use and sharing practices, complete certain audits and assessments when processing higher risk data and provide a private right of action for data breaches, as described above. Although the CCPA includes limited exceptions—including exceptions for personal health information collected by covered entities or business associates subject to HIPAA, the CCPA may regulate or impact our processing of personal information depending on the context. Failure to comply with the CCPA may result in significant civil penalties, injunctive relief, or statutory or actual damages as determined by the California Privacy Protection Agency, the state agency that is charged with creating new rules and enforcing the CCPA, and the California Attorney General, who also still maintains some CCPA enforcement powers. Notably, following California’s lead, over a third of other U.S. states enacted or proposed privacy laws that contain obligations similar to the CCPA that have taken effect or will take effect in coming years. In addition, a comprehensive federal privacy bill, which includes a private right of action for violations, has been proposed and is under review by the U.S. House of Representatives. While these new laws and proposals generally include exemptions for HIPAA-covered data and clinical trial data, they add layers of complexity to compliance in the U.S. market and could increase our compliance costs and adversely affect our business. Compliance with this new and evolving privacy legislation adds complexity and may require investment in additional resources for compliance programs, thus potentially result in additional costs and expense of resources to maintain compliance.</w:t>
      </w:r>
    </w:p>
    <w:p>
      <w:pPr>
        <w:spacing w:after="0" w:line="77"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In the EU, the EU GDPR governs the collection, use, disclosure, transfer, or other processing of personal data. The UK has implemented the EU GDPR as the UK GDPR which sits alongside the UK Data Protection Act 2018 (the UK GDPR together with the EU GDPR, the GDPR). The GDPR imposes compliance obligations on controllers (and in more limited cases, on processors), including (among others) granting certain privacy rights to individuals to control how companies collect, use, disclose, retain and otherwise process their personal data as well as specific requirements for obtaining valid consent where consent is the legal basis for processing, requirements around accountability and transparency, the obligation to consider data protection when any new products or services are developed, the obligation to appoint data protection officers in certain circumstances, the obligation to notify relevant data protection supervisory authorities of notifiable personal data breaches without undue delay (and no later than 72 hours) after becoming aware of the personal data breach, and the requirement to provide more detailed notices for clinical trial subjects and investigators. In addition, the EU GDPR prohibits the international transfer of personal data originating in the EEA (including, from clinical trial sites and other third parties (e.g., CROs)) to jurisdictions that the European Commission does not recognize as having ‘adequate’ data protection laws, unless a data transfer mechanism has been put in place or a derogation under the EU GDPR can be relied upon. In certain cases, for example, when transfers are made in reliance on standard contractual clauses (EU SCCs), there is a requirement for companies to carry out a transfer impact assessment (TIA)—which (among other things) assesses laws governing access to personal data in the recipient country and considers whether supplementary measures that provide privacy protections additional to those provided under EU SCCs—will need to be implemented to ensure an ‘essentially equivalent’ level of data protection to that afforded in the EEA. On July 10, 2023, the European Commission adopted its Final Implementing Decision granting the U.S. adequacy (Adequacy Decision) for EU-U.S. transfers of personal data for entities self-certified to the EU-U.S. Data Privacy Framework (DPF). Entities relying on EU SCCs for transfers to the United States are also able to rely on the analysis in the Adequacy Decision as support for their TIA regarding the equivalence of U.S. national security safeguards and redress.</w:t>
      </w:r>
    </w:p>
    <w:p>
      <w:pPr>
        <w:spacing w:after="0" w:line="93" w:lineRule="exact"/>
        <w:rPr>
          <w:sz w:val="20"/>
          <w:szCs w:val="20"/>
          <w:color w:val="auto"/>
        </w:rPr>
      </w:pPr>
    </w:p>
    <w:p>
      <w:pPr>
        <w:ind w:right="220" w:firstLine="648"/>
        <w:spacing w:after="0" w:line="264" w:lineRule="auto"/>
        <w:rPr>
          <w:sz w:val="20"/>
          <w:szCs w:val="20"/>
          <w:color w:val="auto"/>
        </w:rPr>
      </w:pPr>
      <w:r>
        <w:rPr>
          <w:rFonts w:ascii="Times New Roman" w:cs="Times New Roman" w:eastAsia="Times New Roman" w:hAnsi="Times New Roman"/>
          <w:sz w:val="17"/>
          <w:szCs w:val="17"/>
          <w:color w:val="auto"/>
        </w:rPr>
        <w:t>Under the UK GDPR, companies not established in the UK but who process personal data in relation to the offering of goods or services to individuals in the UK, or to the monitoring of their behavior will be subject to the UK GDPR—the requirements of which at this time are largely aligned with those under the EU GDPR. The European Commission has adopted an adequacy decision in favor of the UK, enabling data transfers from EU Member States to the UK without additional safeguards. However, the UK adequacy decision will automatically expire in December 2025 unless the European Commission reassesses and further renews/extends that decision, and remains under review by the European Commission during this period.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The UK GDPR also imposes similar restrictions on transfers of personal data from the UK to jurisdictions that the UK Government does not consider adequate, including the United States. The UK’s Information Commissioner’s Office published: (i) its own form of EU SCCs, known as the International Data Transfer Agreement; (ii) a “UK addendum” to the EU SCCs which amends the relevant provisions of such clauses to work in a UK context; and (iii) its own version of the TIA (although entities may choose to adopt either the EU or UK-style TIA). Further, on September 21, 2023, the UK Secretary of State for Science, Innovation and Technology established a UK-U.S. data bridge (i.e., a UK equivalent of the Adequacy Decision) and adopted UK regulations to implement the UK-U.S. data bridge. Personal data may now be transferred from the UK under the UK-U.S. data bridge through the UK extension to the DPF to organizations self-certified under the UK extension to the DPF.</w:t>
      </w:r>
    </w:p>
    <w:p>
      <w:pPr>
        <w:spacing w:after="0" w:line="73" w:lineRule="exact"/>
        <w:rPr>
          <w:sz w:val="20"/>
          <w:szCs w:val="20"/>
          <w:color w:val="auto"/>
        </w:rPr>
      </w:pPr>
    </w:p>
    <w:p>
      <w:pPr>
        <w:jc w:val="both"/>
        <w:ind w:right="220" w:firstLine="648"/>
        <w:spacing w:after="0" w:line="250" w:lineRule="auto"/>
        <w:rPr>
          <w:sz w:val="20"/>
          <w:szCs w:val="20"/>
          <w:color w:val="auto"/>
        </w:rPr>
      </w:pPr>
      <w:r>
        <w:rPr>
          <w:rFonts w:ascii="Times New Roman" w:cs="Times New Roman" w:eastAsia="Times New Roman" w:hAnsi="Times New Roman"/>
          <w:sz w:val="18"/>
          <w:szCs w:val="18"/>
          <w:color w:val="auto"/>
        </w:rPr>
        <w:t>However, the DPF in both the EU and UK may be subject to further legal challenge which could cause the legal requirements for personal data transfers from the EU and the UK to the United States to become uncertain once again. EU and UK data protection authorities have and may again block the use of certain U.S.-based services that involve the transfer of personal data to the United States. In the EU and other markets, potential new rules and restrictions on the flow of data across borders could increase the cost and complexity of doing business in those regions.</w:t>
      </w:r>
    </w:p>
    <w:p>
      <w:pPr>
        <w:spacing w:after="0" w:line="83"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As a company, we have invested, and expect to continue to invest, significant time and resources in our DPF certification and GDPR compliance program. This is necessary to ensure we can initiate and maintain GDPR-compliant clinical trials in the EU or UK (as applicable). Any failure or perceived failure by us with respect to GDPR compliance could mean we either cannot initiate additional GDPR-compliant clinical trials in the EU or UK (as applicable) or we may face regulatory investigations, significant fines and penalties, reputational damage or be required to change our business practices, all of which could adversely affect our business, financial condition and results of operations.</w:t>
      </w:r>
    </w:p>
    <w:p>
      <w:pPr>
        <w:spacing w:after="0" w:line="7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Some countries also are considering or have passed legislation requiring local storage and processing of data, or similar requirements, which could increase the cost and complexity for conducting preclinical testing and clinical trials or delivering our future products, if any. Additionally, other countries (e.g., Australia and Japan) have adopted their own legal requirements for cross-border transfers of personal information. These obligations may be interpreted and applied in a manner that is inconsistent from one jurisdiction to another and may conflict with other requirements or our practices.</w:t>
      </w:r>
    </w:p>
    <w:p>
      <w:pPr>
        <w:spacing w:after="0" w:line="8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for ensuring compliance with the new data protection rules. 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and adverse impact on our business, results of operations, reputation, and financial condition.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7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Any such liability, litigation, investigations and proceedings may or may not be covered by our liability insurance and may subject us to significant penalties and negative publicity, require us to change our business practices, increase our costs, severely disrupt our business, and may result in significant reputational harm and have a material and adverse impact on our business, financial condition, results of operations or prospects.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business, and challenges with properly managing its use could result in reputational harm, competitive harm, and legal liability, and adversely affect our results of operations.</w:t>
      </w:r>
    </w:p>
    <w:p>
      <w:pPr>
        <w:spacing w:after="0" w:line="51" w:lineRule="exact"/>
        <w:rPr>
          <w:sz w:val="20"/>
          <w:szCs w:val="20"/>
          <w:color w:val="auto"/>
        </w:rPr>
      </w:pPr>
    </w:p>
    <w:p>
      <w:pPr>
        <w:jc w:val="both"/>
        <w:ind w:right="60" w:firstLine="648"/>
        <w:spacing w:after="0" w:line="247" w:lineRule="auto"/>
        <w:rPr>
          <w:sz w:val="20"/>
          <w:szCs w:val="20"/>
          <w:color w:val="auto"/>
        </w:rPr>
      </w:pPr>
      <w:r>
        <w:rPr>
          <w:rFonts w:ascii="Times New Roman" w:cs="Times New Roman" w:eastAsia="Times New Roman" w:hAnsi="Times New Roman"/>
          <w:sz w:val="18"/>
          <w:szCs w:val="18"/>
          <w:color w:val="auto"/>
        </w:rPr>
        <w:t>We leverage artificial intelligence (AI) into certain aspects of our operations, including through our proprietary DEL-AI platform, which employs machine learning across all aspects of the discovery process. However, our competitors and other third parties may incorporate AI into their operations and processes more quickly or more successfully than us, which could impair our ability to compete effectively and adversely affect our results of operations.</w:t>
      </w:r>
    </w:p>
    <w:p>
      <w:pPr>
        <w:spacing w:after="0" w:line="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Additionally, if the output that AI applications assist in producing are or are alleged to be inaccurate, deficient, or biased, our business, financial condition, and results of operations may be adversely affected. Furthermore, the integration of third-party AI models with our operations relies on certain safeguards implemented by the third-party developers of the underlying AI models, including those related to the accuracy, bias, and other variables of the data, and these safeguards may be insufficient. The use of AI applications has resulted in, and may in the future result in, cybersecurity incidents that implicate the data analyzed within such applications. Any such cybersecurity incidents related to our use of AI applications to analyze data could adversely affect our reputation and results of operations. AI also presents emerging ethical issues and if our use of AI becomes controversial, we may experience brand or reputational harm, competitive harm, or legal liability. Legislation and regulations governing the development and use of AI has been passed or is under consideration in the United States at the state and local level, as well as internationally. As a result, the ability to use artificial intelligence and machine learning may be constrained by current or future laws, regulatory or self-regulatory requirements. The rapid evolution of AI, including regulation of AI and it various uses, will require significant resources to develop, test and maintain our platforms and AI operations to help us implement AI ethically in order to minimize unintended, harmful impact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 and changes in other tax laws could adversely affect us.</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U.S. federal, state, local and foreign tax laws, regulations and administrative guidance are subject to change as a result of the legislative process and review and interpretation by the U.S. Internal Revenue Service, the U.S. Treasury Department and other taxing authorities.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w:t>
      </w:r>
    </w:p>
    <w:p>
      <w:pPr>
        <w:spacing w:after="0" w:line="69"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In December 2017, U.S. federal tax legislation commonly referred to as the TCJA was signed into law, significantly reforming the Internal Revenue Code of 1986, as amended (Code). The TCJA, among other things, changed the U.S. federal tax treatment of research and experimental (R&amp;E) expenses. For tax years beginning on or after January 1, 2022, taxpayers are required to capitalize and amortize, rather than deduct, R&amp;E expenses. R&amp;E expenses are amortizable over five years for research performed in the United States and 15 years for research performed outside the United States. Although there are legislative proposals to repeal or defer the capitalization requirement to later years, there can be no assurance that the provision will be repealed or otherwise modified. Further, beginning with our 2025 tax year, the One Big Beautiful Bill Act restored immediate deductibility of domestic expenditures, while foreign expenditures will continue to be capitalized and amortized over 15 years.</w:t>
      </w:r>
    </w:p>
    <w:p>
      <w:pPr>
        <w:spacing w:after="0" w:line="73" w:lineRule="exact"/>
        <w:rPr>
          <w:sz w:val="20"/>
          <w:szCs w:val="20"/>
          <w:color w:val="auto"/>
        </w:rPr>
      </w:pPr>
    </w:p>
    <w:p>
      <w:pPr>
        <w:ind w:right="100" w:firstLine="648"/>
        <w:spacing w:after="0" w:line="270" w:lineRule="auto"/>
        <w:rPr>
          <w:sz w:val="20"/>
          <w:szCs w:val="20"/>
          <w:color w:val="auto"/>
        </w:rPr>
      </w:pPr>
      <w:r>
        <w:rPr>
          <w:rFonts w:ascii="Times New Roman" w:cs="Times New Roman" w:eastAsia="Times New Roman" w:hAnsi="Times New Roman"/>
          <w:sz w:val="17"/>
          <w:szCs w:val="17"/>
          <w:color w:val="auto"/>
        </w:rPr>
        <w:t>Effective for transactions occurring on or after January 1, 2023, the IRA imposed a new one percent excise tax on certain repurchases of stock by publicly traded U.S. domestic corporations.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w:t>
      </w:r>
    </w:p>
    <w:p>
      <w:pPr>
        <w:spacing w:after="0" w:line="6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addition, new legislation or regulations that could affect our tax burden could be enacted by any governmental authority. We cannot predict the timing or extent of such tax-related developments that could negatively impact our financial results.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may be subject to limitations.</w:t>
      </w:r>
    </w:p>
    <w:p>
      <w:pPr>
        <w:spacing w:after="0" w:line="121"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may never achieve profitability. As of November 30, 2024, we had federal and state net operating loss (NOL) carryforwards of approximately $263.9 million and $418.7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current law, NOLs arising in tax years beginning after December 31, 2017, may be carried forward indefinitely, but are limited to no more than 80% of the excess, if any, of current year taxable income (without regard to certain deductions). Our state NOLs can be carried forward 20 years and begin expiring in 2029.</w:t>
      </w:r>
    </w:p>
    <w:p>
      <w:pPr>
        <w:spacing w:after="0" w:line="73"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R&amp;D credit carryovers) to offset its post-change income or post-change income tax may be limited. We have identified two ownership changes since our inception that have triggered a limitation on pre-change NOLs under Sections 382 and 383.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additional ownership changes in the future as a result of subsequent shifts in our stock ownership, some of which are outside our control. As a result, if we earn net taxable income, our ability to use our pre-change NOLs and R&amp;D credit carryovers to offset U.S. federal taxable income and tax liability may be subject to limitations that potentially could result in increased future tax liability to us. In addition, at the state level, there may be periods during which the use of NOLs is suspended or otherwise limited, which could accelerate or permanently increase state taxes owed.</w:t>
      </w:r>
    </w:p>
    <w:p>
      <w:pPr>
        <w:spacing w:after="0" w:line="19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joint ventures, spin outs or strategic alliances or transactions could disrupt our business and harm our financial condition and results of operations.</w:t>
      </w:r>
    </w:p>
    <w:p>
      <w:pPr>
        <w:spacing w:after="0" w:line="51"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w:t>
      </w:r>
    </w:p>
    <w:p>
      <w:pPr>
        <w:spacing w:after="0" w:line="87"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03"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40"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103" w:lineRule="exact"/>
        <w:rPr>
          <w:rFonts w:ascii="Times New Roman" w:cs="Times New Roman" w:eastAsia="Times New Roman" w:hAnsi="Times New Roman"/>
          <w:sz w:val="18"/>
          <w:szCs w:val="18"/>
          <w:color w:val="auto"/>
        </w:rPr>
      </w:pPr>
    </w:p>
    <w:p>
      <w:pPr>
        <w:ind w:left="980" w:right="780" w:hanging="324"/>
        <w:spacing w:after="0" w:line="266"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54"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 Additionally, we may not realize the expected value of out-licensing, joint ventures, spin outs or other strategic transactions.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spacing w:after="0" w:line="67"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Foreign Corrupt Practices Act (FCPA), the Bribery Act and other anticorruption laws that apply in countries where we do business and may do business in the future. The FCPA, the Bribery Act and other anti-corruption or similar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92"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We also are subject to other laws and regulations governing our international operations, including regulations administered by the governments of the United States, UK and authorities in the EU, including U.S. export controls, including the U.S. Department of Commerce’s Export Administration Regulations, and U.S. economic sanctions, trade sanctions regulations administered by the U.S. Department of the Treasury’s Office of Foreign Assets Controls, including restrictions or prohibitions on the sale or supply of certain products and services to U.S.-embargoed or sanctioned countries, governments, persons and entities, and other applicable export control regulations, customs requirements and currency exchange regulations, which we collectively refer to as Trade Control Laws.</w:t>
      </w:r>
    </w:p>
    <w:p>
      <w:pPr>
        <w:spacing w:after="0" w:line="87"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Securities and Exchange Commission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w:t>
      </w:r>
    </w:p>
    <w:p>
      <w:pPr>
        <w:spacing w:after="0" w:line="17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5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3"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more recently, the global economy has been impacted by interest rate fluctuations and inflation, uncertainty with respect to the federal budget and debt ceiling and potential government shutdowns related thereto, as well as the possibility of a recession or further economic downturn. Moreover, there have been concerns in recent years with respect to the stability of the global banking system. For example, in March 2023, Silicon Valley Bank (SVB), which was one of our banking partners, was closed by the California Department of Financial Protection and Innovation, which appointed the Federal Deposit Insurance Corporation (FDIC) as receiver, and in March 2023, Silvergate Capital Corp. and Signature Bank were similarly swept into receivership. While we only had a minimal amount of our cash directly at SVB and the FDIC took steps to make depositors of SVB whole such that we regained access to this cash, there is no assurance that similar guarantees will be made in the event of further bank closures and continued instability in the global banking system.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cash equivalents and marketable securities may be threatened, which could have a material adverse effect on our business and financial condition. Furthermore, the capital and credit markets may be adversely affected by regional conflicts around the world and the possibility of a wider global conflict, global sanctions imposed in response to regional conflicts or an energy crisis. A severe or prolonged economic downturn, such as the global financial crisis, could result in a variety of risks to our business, including weakened demand for our drug candidates and in our ability to raise additional capital when needed on acceptable terms, if at all.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foreign exchange risk.</w:t>
      </w:r>
    </w:p>
    <w:p>
      <w:pPr>
        <w:spacing w:after="0" w:line="12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We incur portions of our expenses, and may in the future derive revenues, in a variety of currencies. As a result, we may be exposed to foreign currency exchange risk as our results of operations and cash flows are subject to fluctuations in foreign currency exchange rates. If in the future we incur greater portions of our expenses, or derive future revenues, from foreign currencies, fluctuations in currency exchange rates could have an impact on our results as expressed in U.S. dollars. In addition, recent actions taken by the U.S. government may further impact the value of the U.S. dollar relative to other currencies, which may have the result of increasing the portions of our expenses which are realized in other currencies. We currently do not engage in hedging transactions to protect against uncertainty in future exchange rates between particular foreign currencies and the U.S dollar. We cannot predict the impact of foreign currency fluctuations, and foreign currency fluctuations in the future may adversely affect our business, financial condition, results of operations and prospects.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9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are in the San Francisco Bay Area, and we or the third parties upon whom we depend may be adversely affected by earthquakes or other natural disasters as to which our business continuity and disaster recovery plans may not be adequate to protect us.</w:t>
      </w:r>
    </w:p>
    <w:p>
      <w:pPr>
        <w:spacing w:after="0" w:line="2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results of operations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We expect our results of operations to be subject to quarterly fluctuations. Our net loss and other results of operations will be affected by numerous factors, including:</w:t>
      </w:r>
    </w:p>
    <w:p>
      <w:pPr>
        <w:spacing w:after="0" w:line="40" w:lineRule="exact"/>
        <w:rPr>
          <w:sz w:val="20"/>
          <w:szCs w:val="20"/>
          <w:color w:val="auto"/>
        </w:rPr>
      </w:pPr>
    </w:p>
    <w:p>
      <w:pPr>
        <w:ind w:left="980" w:right="580" w:hanging="324"/>
        <w:spacing w:after="0" w:line="266"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drug candidates, DEL-AI platform, or future development programs;</w:t>
      </w:r>
    </w:p>
    <w:p>
      <w:pPr>
        <w:spacing w:after="0" w:line="67"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or the addition or termination of clinical trials or funding support by us or by existing or future collaborators or licensing partners;</w:t>
      </w:r>
    </w:p>
    <w:p>
      <w:pPr>
        <w:spacing w:after="0" w:line="54"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4"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drug candidates receives regulatory approval, the terms of such approval and market acceptance and demand for such drug candidates;</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drug candidates or those of our competitors; and</w:t>
      </w:r>
    </w:p>
    <w:p>
      <w:pPr>
        <w:spacing w:after="0" w:line="103" w:lineRule="exact"/>
        <w:rPr>
          <w:rFonts w:ascii="Times New Roman" w:cs="Times New Roman" w:eastAsia="Times New Roman" w:hAnsi="Times New Roman"/>
          <w:sz w:val="18"/>
          <w:szCs w:val="18"/>
          <w:color w:val="auto"/>
        </w:rPr>
      </w:pPr>
    </w:p>
    <w:p>
      <w:pPr>
        <w:ind w:left="980" w:right="180" w:hanging="324"/>
        <w:spacing w:after="0" w:line="258"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including interest rate fluctuations, inflation, uncertainty with respect to the federal budget and debt ceiling and potential government shutdowns related thereto, instability in the global banking system and the possibility of a recession or further economic downturn.</w:t>
      </w:r>
    </w:p>
    <w:p>
      <w:pPr>
        <w:spacing w:after="0" w:line="6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If our quarterly results of operations fall below the expectations of investors or securities analysts, the price of our common stock could decline substantially. Furthermore, any quarterly fluctuations in our results of operations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could lose all or part of your investment.</w:t>
      </w:r>
    </w:p>
    <w:p>
      <w:pPr>
        <w:spacing w:after="0" w:line="121" w:lineRule="exact"/>
        <w:rPr>
          <w:sz w:val="20"/>
          <w:szCs w:val="20"/>
          <w:color w:val="auto"/>
        </w:rPr>
      </w:pPr>
    </w:p>
    <w:p>
      <w:pPr>
        <w:jc w:val="both"/>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“Risk Factors” section and the following:</w:t>
      </w:r>
    </w:p>
    <w:p>
      <w:pPr>
        <w:spacing w:after="0" w:line="61"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drug candidates, or those of our competitors or our existing or future collaborators;</w:t>
      </w:r>
    </w:p>
    <w:p>
      <w:pPr>
        <w:spacing w:after="0" w:line="103"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drug candidates;</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03"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collaboration partners, or our competitors, and the timing of these introductions or announcements;</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drug candidates, clinical trials, manufacturing process or sales and marketing terms;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in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drug candidates;</w:t>
      </w:r>
    </w:p>
    <w:p>
      <w:pPr>
        <w:spacing w:after="0" w:line="103"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current or future collaborations, including but not limited to those with our sources of manufacturing supply and our commercialization partners;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03"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drug candidates and products;</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any additional capital is raised;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03"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provide to the market;</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events;</w:t>
      </w:r>
    </w:p>
    <w:p>
      <w:pPr>
        <w:spacing w:after="0" w:line="117"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 including the increasingly volatile global economic conditions resulting from regional conflicts around the world;</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pandemics and epidemics;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interest rate fluctuations, inflation, uncertainty with respect to the federal budget and debt ceiling and potential government shutdowns related thereto, instability in the global banking system and the possibility of a recession or further economic downturn.</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121"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82"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vesting and settlement of outstanding restricted stock units, or the perception that such sales may occur, could adversely affect the market price of our common stock.</w:t>
      </w:r>
    </w:p>
    <w:p>
      <w:pPr>
        <w:spacing w:after="0" w:line="6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6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sale and issuance of equity or of debt securities that are convertible into equity will dilute our share capital.</w:t>
      </w:r>
    </w:p>
    <w:p>
      <w:pPr>
        <w:spacing w:after="0" w:line="121"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We may choose to raise additional capital in the future, depending on market conditions, strategic considerations and operational requirements. For example, in March 2021, we sold an additional 5,175,000 shares of our common stock in a follow-on public offering; in July 2022, we entered into separate Securities Purchase Agreements with certain purchasers to issue and sell pre-funded warrants to purchase an aggregate of 6,814,920 shares of our common stock in registered direct offerings; and in April 2024, we sold an additional 11,916,667 shares of our common stock and pre-funded warrants to purchase an aggregate of 1,500,100 shares of our common stock in a public offering. Such pre-funded warrants are immediately exercisable, have an exercise price of $0.001 and may be exercised at any time after the date of issuance.</w:t>
      </w:r>
    </w:p>
    <w:p>
      <w:pPr>
        <w:spacing w:after="0" w:line="72"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In addition, we currently have on file with the SEC an automatic shelf registration statement on Form S-3 which allows us to offer and sell our registered common stock, preferred stock, debt securities, warrants, subscriptions rights and or units from time to time pursuant to one or more offerings at prices and terms to be determined at the time of sale. In August 2021, we entered into an Equity Distribution Agreement with Piper Sandler &amp; Co. (Piper Sandler), which was amended in July 2024 and again in October 2024 (as amended, the Second Amended Equity Distribution Agreement), pursuant to which, from time to time, we may offer and sell through Piper Sandler up to $300.0 million of the common stock registered under the shelf registration statement pursuant to one or more “at the market” offerings. From time to time, we have issued and sold shares of common stock pursuant to this agreement and as of the date of this filing, we have $204.6 million of common stock remaining available for sale under the Second Amended Equity Distribution Agreement. Sales of our common stock under the Second Amended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receive a significant amount, or potentially any, additional funds upon the exercise of our pre-funded warrants; however, any exercise would increase the number of shares eligible for future resale in the public market and result in substantial dilution to our stockholders.</w:t>
      </w:r>
    </w:p>
    <w:p>
      <w:pPr>
        <w:spacing w:after="0" w:line="5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As of August 31, 2025, we have issued pre-funded warrants to purchase a total of 8,315,020 shares of our common stock, of which 7,577,909 were outstanding as of August 31, 2025. Each pre-funded warrant is exercisable for $0.001 per share of common stock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will result in substantial dilution to the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our pre-funded warrants.</w:t>
      </w:r>
    </w:p>
    <w:p>
      <w:pPr>
        <w:spacing w:after="0" w:line="121" w:lineRule="exact"/>
        <w:rPr>
          <w:sz w:val="20"/>
          <w:szCs w:val="20"/>
          <w:color w:val="auto"/>
        </w:rPr>
      </w:pPr>
    </w:p>
    <w:p>
      <w:pPr>
        <w:jc w:val="both"/>
        <w:ind w:right="200" w:firstLine="648"/>
        <w:spacing w:after="0" w:line="250" w:lineRule="auto"/>
        <w:rPr>
          <w:sz w:val="20"/>
          <w:szCs w:val="20"/>
          <w:color w:val="auto"/>
        </w:rPr>
      </w:pPr>
      <w:r>
        <w:rPr>
          <w:rFonts w:ascii="Times New Roman" w:cs="Times New Roman" w:eastAsia="Times New Roman" w:hAnsi="Times New Roman"/>
          <w:sz w:val="18"/>
          <w:szCs w:val="18"/>
          <w:color w:val="auto"/>
        </w:rPr>
        <w:t>There is no public trading market for our pre-funded warrants issued, and we do not expect a market to develop. In addition, we do not intend to apply to list the pre-funded warrants on any securities exchange or nationally recognized trading system, including the Nasdaq Global Market (Nasdaq). Without an active market, the liquidity of the pre-funded warrants will be limited, and the value of the pre-funded warrants may be adversely impacted.</w:t>
      </w:r>
    </w:p>
    <w:p>
      <w:pPr>
        <w:spacing w:after="0" w:line="82"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18"/>
          <w:szCs w:val="18"/>
          <w:color w:val="auto"/>
        </w:rPr>
        <w:t>Additionally, each holder of pre-funded warrants will not be entitled to exercise any portion of any pre-funded warrant,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However, any holder may increase or decrease such percentage to any other percentage (not in excess of 19.99%) upon at least 61 days’ prior notice from the holder to us.</w:t>
      </w:r>
    </w:p>
    <w:p>
      <w:pPr>
        <w:spacing w:after="0" w:line="191"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w:t>
      </w:r>
    </w:p>
    <w:p>
      <w:pPr>
        <w:spacing w:after="0" w:line="82"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our board of directors to establish the number of directors and fill vacancies on our board;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980" w:right="180" w:hanging="324"/>
        <w:spacing w:after="0" w:line="296" w:lineRule="auto"/>
        <w:tabs>
          <w:tab w:leader="none" w:pos="97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super-majority voting to amend some provisions in our restated certificate of incorporation and amended and restated bylaws, unless such amendments are approved by two-thirds of our board of directors, in which case stockholders can approve by a simple majority;</w:t>
      </w:r>
    </w:p>
    <w:p>
      <w:pPr>
        <w:spacing w:after="0" w:line="30"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7" w:lineRule="exact"/>
        <w:rPr>
          <w:rFonts w:ascii="Times New Roman" w:cs="Times New Roman" w:eastAsia="Times New Roman" w:hAnsi="Times New Roman"/>
          <w:sz w:val="18"/>
          <w:szCs w:val="18"/>
          <w:color w:val="auto"/>
        </w:rPr>
      </w:pPr>
    </w:p>
    <w:p>
      <w:pPr>
        <w:ind w:left="980" w:right="880" w:hanging="324"/>
        <w:spacing w:after="0" w:line="266"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54"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and our amended and restated bylaws contain exclusive forum provisions for certain claims, which could limit our stockholders’ ability to obtain a favorable judicial forum for disputes with us or our directors, officers or employees.</w:t>
      </w:r>
    </w:p>
    <w:p>
      <w:pPr>
        <w:spacing w:after="0" w:line="5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w:t>
      </w:r>
    </w:p>
    <w:p>
      <w:pPr>
        <w:spacing w:after="0" w:line="69"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Moreover, Section 22 of the Securities Act of 1933, as amended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95"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amended and restated bylaws to be inapplicable or unenforceable in an action, we may incur additional costs associated with resolving such action in other jurisdictions, which could harm our business, results of operations and financial condition.</w:t>
      </w:r>
    </w:p>
    <w:p>
      <w:pPr>
        <w:spacing w:after="0" w:line="1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We are subject to the reporting requirements of the Exchange Act, the Sarbanes-Oxley Act, the Dodd-Frank Wall Street Reform and Consumer Protection Act, the listing requirements of Nasdaq and other applicable securities rules and regulations which impose various requirements on public companies, including establishment and maintenance of effective disclosure and financial controls and corporate governance practices. Compliance with these rules and regulations may strain our financial and management systems, internal controls, and employees. For example, the Exchange Act requires, among other things, that we file annual, quarterly, and current reports with respect to our business and results of operations and the disclosure requirements under the Exchange Act are subject to change from time to time. Complying with these new disclosure obligations once applicable to our company, or any or any additional new disclosure requirements that may apply to us in the future, could cause us to incur substantial costs and could increase negative publicity surrounding any incident that we are required to disclose. Any failure or perceived failure by us to comply with these obligations may also subject us to enforcement action or litigation, any of which could harm our business.</w:t>
      </w:r>
    </w:p>
    <w:p>
      <w:pPr>
        <w:spacing w:after="0" w:line="78"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7"/>
          <w:szCs w:val="17"/>
          <w:color w:val="auto"/>
        </w:rPr>
        <w:t>Therefore, as a result of being a public company, our management and other personnel are required to devote a substantial amount of time to these compliance initiatives. Moreover, these rules and regulations have increased our legal and financial compliance costs and have made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our ability to produce accurate and timely financial statements could be impaired, which could harm our results of operations, investors’ views of us and, as a result, the value of our common stock.</w:t>
      </w:r>
    </w:p>
    <w:p>
      <w:pPr>
        <w:spacing w:after="0" w:line="51" w:lineRule="exact"/>
        <w:rPr>
          <w:sz w:val="20"/>
          <w:szCs w:val="20"/>
          <w:color w:val="auto"/>
        </w:rPr>
      </w:pPr>
    </w:p>
    <w:p>
      <w:pPr>
        <w:ind w:right="140" w:firstLine="648"/>
        <w:spacing w:after="0" w:line="243" w:lineRule="auto"/>
        <w:rPr>
          <w:sz w:val="20"/>
          <w:szCs w:val="20"/>
          <w:color w:val="auto"/>
        </w:rPr>
      </w:pPr>
      <w:r>
        <w:rPr>
          <w:rFonts w:ascii="Times New Roman" w:cs="Times New Roman" w:eastAsia="Times New Roman" w:hAnsi="Times New Roman"/>
          <w:sz w:val="18"/>
          <w:szCs w:val="18"/>
          <w:color w:val="auto"/>
        </w:rPr>
        <w:t>Pursuant to the rules and regulations of the SEC, we are required to furnish a report by our management on, among other things, our internal control over financial reporting. To achieve compliance with these rules and regulations, we engage in a process to document and evaluate our internal control over financial reporting, which is both costly and time-consuming. Effective internal control over financial reporting is necessary for us to provide reliable financial reporting and, together with adequate disclosure controls and procedures, are designed to prevent material misstatements due to fraud or error. Any failure to design new or improved internal controls necessary to address risks of material misstatement in our interim or annual financial statements, or difficulties encountered in their implementation or operation, could cause us to fail to meet our reporting obligations. Ineffective internal control over financial reporting could also cause investors to lose confidence in our reported financial information, which could have a negative effect on the trading price of our common stock.</w:t>
      </w:r>
    </w:p>
    <w:p>
      <w:pPr>
        <w:spacing w:after="0" w:line="9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The reporting on our assessment of the effectiveness of our internal control over financial reporting needs to include disclosure of any material weaknesses identified in our internal control over financial reporting. Moreover, based on the market value of our common stock held by non-affiliates as of May 31, 2025, we will continue to be considered a large accelerated filer under SEC rules for the fiscal year ending November 30, 2026, and, as a result, our independent registered public accounting firm will be required to audit the effectiveness of our internal control over financial reporting pursuant to Section 404(b) of the Sarbanes-Oxley Act (Section 404(b)). Compliance with Section 404(b) will result in increased costs, expenses, and management resources. Undetected material weaknesses in our internal control over financial reporting could lead to financial statement restatements and require us to incur the expense of remediation. For example, we previously identified material weaknesses in our internal control over financial reporting for the fiscal year ended November 30, 2021, related to controls over segregation of duties in our journal entry and account reconciliation processes, and certain information technology general controls. The material weaknesses identified did not result in any misstatement of our financial statements and during the year ended November 30, 2022, the material weaknesses was remediated. However, we cannot assure you that the measures we have taken to date, and actions we may take in the future, will prevent or avoid potential future material weaknesses.</w:t>
      </w:r>
    </w:p>
    <w:p>
      <w:pPr>
        <w:spacing w:after="0" w:line="80"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We are also required to disclose changes made in our internal control over financial reporting that have materially affected, or are reasonably likely to materially affect, internal control over financial reporting on a quarterly basis. To comply with the requirements of being a public company, we have undertaken, and may need to further undertake in the future, various actions, such as implementing new internal controls and procedures and hiring additional accounting staff.</w:t>
      </w:r>
    </w:p>
    <w:p>
      <w:pPr>
        <w:spacing w:after="0" w:line="8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Moreover, our current controls and any new controls that we develop may become inadequate because of changes in conditions in our business. Further, material weaknesses in our disclosure controls and procedures and internal control over financial reporting may be discovered in the future. Any failure to develop or maintain effective internal control over financial reporting or any difficulties encountered in their implementation or improvement could harm our results of operations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1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Issuers and Affiliated Purchasers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Director and Section 16 Officer Rule 10b5-1 Trading Arrangements</w:t>
      </w:r>
    </w:p>
    <w:p>
      <w:pPr>
        <w:spacing w:after="0" w:line="10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 director or Section 16 officer of the Company adopted or terminated a “Rule 10b5-1 trading arrangement” or “non-Rule 10b5-1 trading arrangement,” as each term is defined in Item 408(a) of Regulation S-K, during the three months ended August 31, 2025.</w:t>
      </w: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20" w:type="dxa"/>
            <w:vAlign w:val="bottom"/>
          </w:tcPr>
          <w:p>
            <w:pPr>
              <w:spacing w:after="0"/>
              <w:rPr>
                <w:sz w:val="16"/>
                <w:szCs w:val="16"/>
                <w:color w:val="auto"/>
              </w:rPr>
            </w:pPr>
          </w:p>
        </w:tc>
        <w:tc>
          <w:tcPr>
            <w:tcW w:w="820" w:type="dxa"/>
            <w:vAlign w:val="bottom"/>
            <w:vMerge w:val="restart"/>
          </w:tcPr>
          <w:p>
            <w:pPr>
              <w:jc w:val="center"/>
              <w:ind w:left="138"/>
              <w:spacing w:after="0"/>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37"/>
        </w:trPr>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jc w:val="center"/>
              <w:ind w:left="118"/>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204"/>
        </w:trPr>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4900" w:type="dxa"/>
            <w:vAlign w:val="bottom"/>
            <w:gridSpan w:val="7"/>
          </w:tcPr>
          <w:p>
            <w:pPr>
              <w:ind w:left="2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20" w:type="dxa"/>
            <w:vAlign w:val="bottom"/>
          </w:tcPr>
          <w:p>
            <w:pPr>
              <w:jc w:val="center"/>
              <w:ind w:left="11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3"/>
        </w:trPr>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Certification of Principal Executive Officer Pursuant to Rules 13a-</w:t>
            </w:r>
          </w:p>
        </w:tc>
        <w:tc>
          <w:tcPr>
            <w:tcW w:w="340" w:type="dxa"/>
            <w:vAlign w:val="bottom"/>
            <w:gridSpan w:val="5"/>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center"/>
              <w:ind w:left="138"/>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7"/>
          </w:tcPr>
          <w:p>
            <w:pPr>
              <w:spacing w:after="0" w:line="183" w:lineRule="exact"/>
              <w:rPr>
                <w:sz w:val="20"/>
                <w:szCs w:val="20"/>
                <w:color w:val="auto"/>
              </w:rPr>
            </w:pPr>
            <w:r>
              <w:rPr>
                <w:rFonts w:ascii="Times New Roman" w:cs="Times New Roman" w:eastAsia="Times New Roman" w:hAnsi="Times New Roman"/>
                <w:sz w:val="17"/>
                <w:szCs w:val="17"/>
                <w:color w:val="0000FF"/>
              </w:rPr>
              <w:t>14(a) and 15d-14(a) under the Securities Exchange Act of 1934, as</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7"/>
          </w:tcPr>
          <w:p>
            <w:pPr>
              <w:spacing w:after="0" w:line="183"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Rules 13a-14(a)</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center"/>
              <w:ind w:left="138"/>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60" w:type="dxa"/>
            <w:vAlign w:val="bottom"/>
            <w:tcBorders>
              <w:top w:val="single" w:sz="8" w:color="0000FF"/>
            </w:tcBorders>
            <w:gridSpan w:val="5"/>
          </w:tcPr>
          <w:p>
            <w:pPr>
              <w:spacing w:after="0" w:line="183" w:lineRule="exact"/>
              <w:rPr>
                <w:sz w:val="20"/>
                <w:szCs w:val="20"/>
                <w:color w:val="auto"/>
              </w:rPr>
            </w:pPr>
            <w:r>
              <w:rPr>
                <w:rFonts w:ascii="Times New Roman" w:cs="Times New Roman" w:eastAsia="Times New Roman" w:hAnsi="Times New Roman"/>
                <w:sz w:val="17"/>
                <w:szCs w:val="17"/>
                <w:color w:val="0000FF"/>
              </w:rPr>
              <w:t>and 15d-14(a) under the Securities Exchange Act of 1934, as Adopted</w:t>
            </w:r>
          </w:p>
        </w:tc>
        <w:tc>
          <w:tcPr>
            <w:tcW w:w="4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tcBorders>
              <w:top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7"/>
                <w:szCs w:val="17"/>
                <w:color w:val="0000FF"/>
              </w:rPr>
              <w:t>Pursuant to Section 302 of the Sarbanes-Oxley Act of 2002</w:t>
            </w:r>
          </w:p>
        </w:tc>
        <w:tc>
          <w:tcPr>
            <w:tcW w:w="120" w:type="dxa"/>
            <w:vAlign w:val="bottom"/>
            <w:gridSpan w:val="3"/>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9"/>
              </w:rPr>
              <w:t>Certification of Principal Executive Officer and Principal Financial and</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center"/>
              <w:ind w:left="138"/>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tcBorders>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17"/>
                <w:szCs w:val="17"/>
                <w:color w:val="0000FF"/>
                <w:w w:val="99"/>
              </w:rPr>
              <w:t>Accounting Officer Pursuant to 18 U.S.C. Section 1350, as Adopted</w:t>
            </w:r>
          </w:p>
        </w:tc>
        <w:tc>
          <w:tcPr>
            <w:tcW w:w="220" w:type="dxa"/>
            <w:vAlign w:val="bottom"/>
            <w:gridSpan w:val="4"/>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7"/>
          </w:tcPr>
          <w:p>
            <w:pPr>
              <w:spacing w:after="0" w:line="183" w:lineRule="exact"/>
              <w:rPr>
                <w:sz w:val="20"/>
                <w:szCs w:val="20"/>
                <w:color w:val="auto"/>
              </w:rPr>
            </w:pPr>
            <w:r>
              <w:rPr>
                <w:rFonts w:ascii="Times New Roman" w:cs="Times New Roman" w:eastAsia="Times New Roman" w:hAnsi="Times New Roman"/>
                <w:sz w:val="17"/>
                <w:szCs w:val="17"/>
                <w:color w:val="0000FF"/>
              </w:rPr>
              <w:t>Pursuant to Section 906 of the Sarbanes-Oxley Act of 2002</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24"/>
                <w:szCs w:val="24"/>
                <w:color w:val="auto"/>
              </w:rPr>
            </w:pPr>
          </w:p>
        </w:tc>
        <w:tc>
          <w:tcPr>
            <w:tcW w:w="49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center"/>
              <w:ind w:left="138"/>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appear in the Interactive Data File because its XBRL tags are</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embedded within the Inline XBRL document</w:t>
            </w: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24"/>
                <w:szCs w:val="24"/>
                <w:color w:val="auto"/>
              </w:rPr>
            </w:pPr>
          </w:p>
        </w:tc>
        <w:tc>
          <w:tcPr>
            <w:tcW w:w="49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center"/>
              <w:ind w:left="138"/>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311"/>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24"/>
                <w:szCs w:val="24"/>
                <w:color w:val="auto"/>
              </w:rPr>
            </w:pPr>
          </w:p>
        </w:tc>
        <w:tc>
          <w:tcPr>
            <w:tcW w:w="49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center"/>
              <w:ind w:left="138"/>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311"/>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24"/>
                <w:szCs w:val="24"/>
                <w:color w:val="auto"/>
              </w:rPr>
            </w:pPr>
          </w:p>
        </w:tc>
        <w:tc>
          <w:tcPr>
            <w:tcW w:w="49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center"/>
              <w:ind w:left="138"/>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310"/>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24"/>
                <w:szCs w:val="24"/>
                <w:color w:val="auto"/>
              </w:rPr>
            </w:pPr>
          </w:p>
        </w:tc>
        <w:tc>
          <w:tcPr>
            <w:tcW w:w="49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center"/>
              <w:ind w:left="138"/>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311"/>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24"/>
                <w:szCs w:val="24"/>
                <w:color w:val="auto"/>
              </w:rPr>
            </w:pPr>
          </w:p>
        </w:tc>
        <w:tc>
          <w:tcPr>
            <w:tcW w:w="49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center"/>
              <w:ind w:left="138"/>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91"/>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center"/>
              <w:ind w:left="138"/>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included in exhibit 101)</w:t>
            </w: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52705</wp:posOffset>
            </wp:positionV>
            <wp:extent cx="37973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18" w:lineRule="exact"/>
        <w:rPr>
          <w:sz w:val="20"/>
          <w:szCs w:val="20"/>
          <w:color w:val="auto"/>
        </w:rPr>
      </w:pPr>
    </w:p>
    <w:p>
      <w:pPr>
        <w:jc w:val="both"/>
        <w:ind w:left="1100" w:hanging="1061"/>
        <w:spacing w:after="0" w:line="267" w:lineRule="auto"/>
        <w:tabs>
          <w:tab w:leader="none" w:pos="11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certifications furnished in Exhibits 32.1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37" w:lineRule="exact"/>
        <w:rPr>
          <w:sz w:val="20"/>
          <w:szCs w:val="20"/>
          <w:color w:val="auto"/>
        </w:rPr>
      </w:pPr>
    </w:p>
    <w:p>
      <w:pPr>
        <w:ind w:left="20"/>
        <w:spacing w:after="0"/>
        <w:tabs>
          <w:tab w:leader="none" w:pos="4740" w:val="left"/>
          <w:tab w:leader="none" w:pos="7020" w:val="left"/>
        </w:tabs>
        <w:rPr>
          <w:sz w:val="20"/>
          <w:szCs w:val="20"/>
          <w:color w:val="auto"/>
        </w:rPr>
      </w:pPr>
      <w:r>
        <w:rPr>
          <w:rFonts w:ascii="Times New Roman" w:cs="Times New Roman" w:eastAsia="Times New Roman" w:hAnsi="Times New Roman"/>
          <w:sz w:val="18"/>
          <w:szCs w:val="18"/>
          <w:color w:val="auto"/>
        </w:rPr>
        <w:t>Date: October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w:t>
      </w:r>
      <w:r>
        <w:rPr>
          <w:rFonts w:ascii="Times New Roman" w:cs="Times New Roman" w:eastAsia="Times New Roman" w:hAnsi="Times New Roman"/>
          <w:sz w:val="13"/>
          <w:szCs w:val="13"/>
          <w:color w:val="auto"/>
        </w:rPr>
        <w:t>RTHUR</w:t>
      </w:r>
      <w:r>
        <w:rPr>
          <w:rFonts w:ascii="Times New Roman" w:cs="Times New Roman" w:eastAsia="Times New Roman" w:hAnsi="Times New Roman"/>
          <w:sz w:val="17"/>
          <w:szCs w:val="17"/>
          <w:color w:val="auto"/>
        </w:rPr>
        <w:t xml:space="preserve"> T. S</w:t>
      </w:r>
      <w:r>
        <w:rPr>
          <w:rFonts w:ascii="Times New Roman" w:cs="Times New Roman" w:eastAsia="Times New Roman" w:hAnsi="Times New Roman"/>
          <w:sz w:val="13"/>
          <w:szCs w:val="13"/>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34290</wp:posOffset>
            </wp:positionV>
            <wp:extent cx="33089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Arthur T. Sands, M.D., Ph.D.</w:t>
      </w:r>
    </w:p>
    <w:p>
      <w:pPr>
        <w:spacing w:after="0" w:line="6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15" w:lineRule="exact"/>
        <w:rPr>
          <w:sz w:val="20"/>
          <w:szCs w:val="20"/>
          <w:color w:val="auto"/>
        </w:rPr>
      </w:pPr>
    </w:p>
    <w:p>
      <w:pPr>
        <w:ind w:left="20"/>
        <w:spacing w:after="0"/>
        <w:tabs>
          <w:tab w:leader="none" w:pos="4740" w:val="left"/>
          <w:tab w:leader="none" w:pos="7020" w:val="left"/>
        </w:tabs>
        <w:rPr>
          <w:sz w:val="20"/>
          <w:szCs w:val="20"/>
          <w:color w:val="auto"/>
        </w:rPr>
      </w:pPr>
      <w:r>
        <w:rPr>
          <w:rFonts w:ascii="Times New Roman" w:cs="Times New Roman" w:eastAsia="Times New Roman" w:hAnsi="Times New Roman"/>
          <w:sz w:val="18"/>
          <w:szCs w:val="18"/>
          <w:color w:val="auto"/>
        </w:rPr>
        <w:t>Date: October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w:t>
      </w:r>
      <w:r>
        <w:rPr>
          <w:rFonts w:ascii="Times New Roman" w:cs="Times New Roman" w:eastAsia="Times New Roman" w:hAnsi="Times New Roman"/>
          <w:sz w:val="14"/>
          <w:szCs w:val="14"/>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34290</wp:posOffset>
            </wp:positionV>
            <wp:extent cx="33089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Hans van Houte</w:t>
      </w:r>
    </w:p>
    <w:p>
      <w:pPr>
        <w:spacing w:after="0" w:line="6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880"/>
          </w:cols>
          <w:pgMar w:left="320" w:top="121" w:right="69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Arthur T. Sands, certify that:</w:t>
      </w:r>
    </w:p>
    <w:p>
      <w:pPr>
        <w:spacing w:after="0" w:line="117"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Nurix Therapeutics,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8"/>
          <w:szCs w:val="18"/>
          <w:color w:val="auto"/>
        </w:rPr>
        <w:t>By:</w:t>
        <w:tab/>
        <w:t>/s/ 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T. S</w:t>
      </w:r>
      <w:r>
        <w:rPr>
          <w:rFonts w:ascii="Times New Roman" w:cs="Times New Roman" w:eastAsia="Times New Roman" w:hAnsi="Times New Roman"/>
          <w:sz w:val="14"/>
          <w:szCs w:val="14"/>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Arthur T. Sands, M.D., Ph.D.</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9, 2025</w:t>
      </w:r>
    </w:p>
    <w:p>
      <w:pPr>
        <w:sectPr>
          <w:pgSz w:w="11900" w:h="16838" w:orient="portrait"/>
          <w:cols w:equalWidth="0" w:num="1">
            <w:col w:w="11240"/>
          </w:cols>
          <w:pgMar w:left="320" w:top="1143"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AND ACCOUNTING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Hans van Houte, certify that:</w:t>
      </w:r>
    </w:p>
    <w:p>
      <w:pPr>
        <w:spacing w:after="0" w:line="117"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Nurix Therapeutics,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8"/>
          <w:szCs w:val="18"/>
          <w:color w:val="auto"/>
        </w:rPr>
        <w:t>By:</w:t>
        <w:tab/>
        <w:t>/s/ H</w:t>
      </w:r>
      <w:r>
        <w:rPr>
          <w:rFonts w:ascii="Times New Roman" w:cs="Times New Roman" w:eastAsia="Times New Roman" w:hAnsi="Times New Roman"/>
          <w:sz w:val="14"/>
          <w:szCs w:val="14"/>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Hans van Houte</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9, 2025</w:t>
      </w:r>
    </w:p>
    <w:p>
      <w:pPr>
        <w:sectPr>
          <w:pgSz w:w="11900" w:h="16838" w:orient="portrait"/>
          <w:cols w:equalWidth="0" w:num="1">
            <w:col w:w="11240"/>
          </w:cols>
          <w:pgMar w:left="320" w:top="1143"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officers of Nurix Therapeutics, Inc. (the Company) certifies, pursuant to 18 U.S.C. § 1350, as adopted pursuant to §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w:t>
      </w:r>
    </w:p>
    <w:p>
      <w:pPr>
        <w:spacing w:after="0" w:line="207" w:lineRule="exact"/>
        <w:rPr>
          <w:sz w:val="20"/>
          <w:szCs w:val="20"/>
          <w:color w:val="auto"/>
        </w:rPr>
      </w:pPr>
    </w:p>
    <w:p>
      <w:pPr>
        <w:ind w:left="660" w:right="2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August 31, 2025 (the Quarterly Report), as filed with the Securities and Exchange Commission,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fairly presents, in all material respects, the financial condition and results of operations of the Company.</w:t>
      </w:r>
    </w:p>
    <w:p>
      <w:pPr>
        <w:spacing w:after="0" w:line="202"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8"/>
          <w:szCs w:val="18"/>
          <w:color w:val="auto"/>
        </w:rPr>
        <w:t>By:</w:t>
        <w:tab/>
        <w:t>/s/ 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T. S</w:t>
      </w:r>
      <w:r>
        <w:rPr>
          <w:rFonts w:ascii="Times New Roman" w:cs="Times New Roman" w:eastAsia="Times New Roman" w:hAnsi="Times New Roman"/>
          <w:sz w:val="14"/>
          <w:szCs w:val="14"/>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Arthur T. Sands, M.D., Ph.D.</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8"/>
          <w:szCs w:val="18"/>
          <w:color w:val="auto"/>
        </w:rPr>
        <w:t>By:</w:t>
        <w:tab/>
        <w:t>/s/ H</w:t>
      </w:r>
      <w:r>
        <w:rPr>
          <w:rFonts w:ascii="Times New Roman" w:cs="Times New Roman" w:eastAsia="Times New Roman" w:hAnsi="Times New Roman"/>
          <w:sz w:val="14"/>
          <w:szCs w:val="14"/>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Hans van Houte</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9,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x"/>
      <w:numFmt w:val="bullet"/>
      <w:start w:val="1"/>
    </w:lvl>
  </w:abstractNum>
  <w:abstractNum w:abstractNumId="1">
    <w:nsid w:val="75A2A8D4"/>
    <w:multiLevelType w:val="hybridMultilevel"/>
    <w:lvl w:ilvl="0">
      <w:lvlJc w:val="left"/>
      <w:lvlText w:val="o"/>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lowerRoman"/>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2025-10-09T15:13:49Z</dcterms:created>
  <dcterms:modified xsi:type="dcterms:W3CDTF">2025-10-09T15:13:49Z</dcterms:modified>
</cp:coreProperties>
</file>