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52"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52"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8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May 31, 2026</w:t>
      </w:r>
    </w:p>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001-39398</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80" w:after="283"/>
        <w:jc w:val="center"/>
        <w:rPr>
          <w:rFonts w:ascii="Times New Roman;serif" w:hAnsi="Times New Roman;serif"/>
          <w:b/>
          <w:color w:val="000000"/>
          <w:sz w:val="48"/>
        </w:rPr>
      </w:pPr>
      <w:r>
        <w:rPr>
          <w:rFonts w:ascii="Times New Roman;serif" w:hAnsi="Times New Roman;serif"/>
          <w:b/>
          <w:color w:val="000000"/>
          <w:sz w:val="48"/>
        </w:rPr>
        <w:t>NURIX THERAPEUTICS, INC.</w:t>
      </w:r>
    </w:p>
    <w:p>
      <w:pPr>
        <w:pStyle w:val="TextBody"/>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35" w:type="dxa"/>
        <w:jc w:val="center"/>
        <w:tblInd w:w="0" w:type="dxa"/>
        <w:tblLayout w:type="fixed"/>
        <w:tblCellMar>
          <w:top w:w="28" w:type="dxa"/>
          <w:left w:w="28" w:type="dxa"/>
          <w:bottom w:w="28" w:type="dxa"/>
          <w:right w:w="28" w:type="dxa"/>
        </w:tblCellMar>
      </w:tblPr>
      <w:tblGrid>
        <w:gridCol w:w="1110"/>
        <w:gridCol w:w="980"/>
        <w:gridCol w:w="985"/>
        <w:gridCol w:w="455"/>
        <w:gridCol w:w="455"/>
        <w:gridCol w:w="650"/>
      </w:tblGrid>
      <w:tr>
        <w:trPr/>
        <w:tc>
          <w:tcPr>
            <w:tcW w:w="111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27-0838048</w:t>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 xml:space="preserve">1600 Sierra Point Parkway, </w:t>
            </w:r>
          </w:p>
          <w:p>
            <w:pPr>
              <w:pStyle w:val="TableContents"/>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Brisbane, CA</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94005</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52"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(415) 660-5320</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16" w:type="dxa"/>
        <w:jc w:val="center"/>
        <w:tblInd w:w="0" w:type="dxa"/>
        <w:tblLayout w:type="fixed"/>
        <w:tblCellMar>
          <w:top w:w="28" w:type="dxa"/>
          <w:left w:w="28" w:type="dxa"/>
          <w:bottom w:w="28" w:type="dxa"/>
          <w:right w:w="28" w:type="dxa"/>
        </w:tblCellMar>
      </w:tblPr>
      <w:tblGrid>
        <w:gridCol w:w="1301"/>
        <w:gridCol w:w="1145"/>
        <w:gridCol w:w="1153"/>
        <w:gridCol w:w="109"/>
        <w:gridCol w:w="109"/>
        <w:gridCol w:w="109"/>
        <w:gridCol w:w="294"/>
        <w:gridCol w:w="294"/>
        <w:gridCol w:w="296"/>
        <w:gridCol w:w="109"/>
        <w:gridCol w:w="109"/>
        <w:gridCol w:w="109"/>
        <w:gridCol w:w="1019"/>
        <w:gridCol w:w="1019"/>
        <w:gridCol w:w="1441"/>
      </w:tblGrid>
      <w:tr>
        <w:trPr/>
        <w:tc>
          <w:tcPr>
            <w:tcW w:w="130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52"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52"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52"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52"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52"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Registrant had 103,781,683 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and conduct of our clinical trial programs for our lead drug candidates bexobrutideg (NX-5948), zelebrudomide (NX-2127) and NX-1607 and other drug candidates, including statements regarding the timing of data and anticipated announcements, the selection of new development candidates and the initiation of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and our ability to obtain, marketing approvals for our lead drug candidates bexobrutideg, zelebrudomide and NX-1607 and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plans to pursue research and development of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investigational new drug application (IND) submissions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advantages of our DEL-AI platform, our drug candidates and degrader antibody conjugates (DACs);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extent to which our scientific approach, our DEL-AI platform, protein degradation, antibody-drug conjugation, and DACs may potentially address a broad range of diseases;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benefits of our arrangements with Gilead Sciences, Inc., Sanofi S.A., Seagen Inc. (now a part of Pfizer Inc.) and F. Hoffmann-La Roche Ltd;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and our ability to obtain and maintain regulatory approvals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receipt of revenue from future sales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estimates regarding the potential market opportunity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sales, marketing and distribution capabilities and strategy;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and maintain arrangements for the manufacturing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expected impact of global business, political and macroeconomic conditions, including inflation, interest rate fluctuations, tariffs, trade restrictions, and volatile market conditions, uncertainty with respect to the federal budget and debt ceiling, potential government shutdowns related thereto, cybersecurity events, instability in the global banking system, and global events, including regional conflicts around the world, on our business, clinical trials, financial condition, liquidity and results of operations;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achievement of milestones and receipt of royalty payments and other economic benefits under our collaborations;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enter into additional collaborations with third parties;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intellectual property position;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estimates regarding expenses, future revenues, capital requirements and needs for additional financing;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impact of government laws and regulations;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 length below. These risks include, among others, the following: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incurred significant losses since our inception. We expect to incur losses over at least the next several years and may never achieve or maintain profitability.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never generated revenue from product sales and may never be profitable.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will need substantial additional funding. If we are unable to raise capital when needed, we may be required to delay, limit, reduce or terminate our research or product development programs or future commercialization efforts.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Current and future legislation may increase the difficulty and cost for us, and any collaborators, to obtain marketing approval of and commercialize our drug candidates and affect the prices we, or they, may obtain.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are early in our development efforts. Our lead drug candidates, bexobrutideg (NX-5948), zelebrudomide (NX-2127) and NX-1607, are in the early stages of clinical development. If we are unable to advance our drug candidates through clinical development, or to obtain regulatory approval for them, or to secure an adequate reimbursement price for them, or to commercialize them or experience significant delays in doing so, our business may be materially harmed.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limited operating history may make it difficult to evaluate the success of our business to date and to assess our future viability.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serious adverse events, undesirable side effects or unexpected characteristics are identified during the development of any drug candidates we may develop, we may need to abandon or limit our further clinical development of those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results of preclinical studies and early-stage clinical trials may not be predictive of future results. Initial success in clinical trials may not be indicative of results obtained in later-stage trials or when these trials are completed.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seek or obtain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face substantial competition in an environment of rapid technological change, which may result in others discovering, developing or commercializing products before or more successfully than we do.</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Unfavorable global economic conditions could adversely affect our business, financial condition, stock price and results of operations.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fail to attract and retain management and other key personnel, we may be unable to continue to successfully develop our current and any future drug candidates, commercialize our drug candidates or otherwise implement our business plan.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3"/>
        <w:gridCol w:w="2453"/>
        <w:gridCol w:w="2459"/>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6">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6">
              <w:r>
                <w:rPr>
                  <w:rStyle w:val="InternetLink"/>
                  <w:rFonts w:ascii="Times New Roman;serif" w:hAnsi="Times New Roman;serif"/>
                  <w:b w:val="false"/>
                  <w:color w:val="0000FF"/>
                  <w:sz w:val="20"/>
                  <w:u w:val="single"/>
                </w:rPr>
                <w:t>FINANCIAL INFORMATION</w:t>
              </w:r>
            </w:hyperlink>
          </w:p>
        </w:tc>
        <w:tc>
          <w:tcPr>
            <w:tcW w:w="5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right"/>
              <w:rPr/>
            </w:pPr>
            <w:hyperlink w:anchor="i28e88fa6fbb64cb4a6f1ae40e2cf7659_16">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9">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9">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22">
              <w:r>
                <w:rPr>
                  <w:rStyle w:val="InternetLink"/>
                  <w:rFonts w:ascii="Times New Roman;serif" w:hAnsi="Times New Roman;serif"/>
                  <w:b w:val="false"/>
                  <w:color w:val="0000FF"/>
                  <w:sz w:val="20"/>
                  <w:u w:val="single"/>
                </w:rPr>
                <w:t xml:space="preserve">Condensed Balance Sheets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22">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25">
              <w:r>
                <w:rPr>
                  <w:rStyle w:val="InternetLink"/>
                  <w:rFonts w:ascii="Times New Roman;serif" w:hAnsi="Times New Roman;serif"/>
                  <w:b w:val="false"/>
                  <w:color w:val="0000FF"/>
                  <w:sz w:val="20"/>
                  <w:u w:val="single"/>
                </w:rPr>
                <w:t xml:space="preserve">Condensed Statements of Operations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25">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28">
              <w:r>
                <w:rPr>
                  <w:rStyle w:val="InternetLink"/>
                  <w:rFonts w:ascii="Times New Roman;serif" w:hAnsi="Times New Roman;serif"/>
                  <w:b w:val="false"/>
                  <w:color w:val="0000FF"/>
                  <w:sz w:val="20"/>
                  <w:u w:val="single"/>
                </w:rPr>
                <w:t xml:space="preserve">Condensed Statements of Comprehensive Loss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28">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31">
              <w:r>
                <w:rPr>
                  <w:rStyle w:val="InternetLink"/>
                  <w:rFonts w:ascii="Times New Roman;serif" w:hAnsi="Times New Roman;serif"/>
                  <w:b w:val="false"/>
                  <w:color w:val="0000FF"/>
                  <w:sz w:val="20"/>
                  <w:u w:val="single"/>
                </w:rPr>
                <w:t xml:space="preserve">Condensed Statements of Stockholders’ Equity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31">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34">
              <w:r>
                <w:rPr>
                  <w:rStyle w:val="InternetLink"/>
                  <w:rFonts w:ascii="Times New Roman;serif" w:hAnsi="Times New Roman;serif"/>
                  <w:b w:val="false"/>
                  <w:color w:val="0000FF"/>
                  <w:sz w:val="20"/>
                  <w:u w:val="single"/>
                </w:rPr>
                <w:t xml:space="preserve">Condensed Statements of Cash Flows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34">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37">
              <w:r>
                <w:rPr>
                  <w:rStyle w:val="InternetLink"/>
                  <w:rFonts w:ascii="Times New Roman;serif" w:hAnsi="Times New Roman;serif"/>
                  <w:b w:val="false"/>
                  <w:color w:val="0000FF"/>
                  <w:sz w:val="20"/>
                  <w:u w:val="single"/>
                </w:rPr>
                <w:t>Notes to Condensed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37">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8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82">
              <w:r>
                <w:rPr>
                  <w:rStyle w:val="InternetLink"/>
                  <w:rFonts w:ascii="Times New Roman;serif" w:hAnsi="Times New Roman;serif"/>
                  <w:b w:val="false"/>
                  <w:strike w:val="false"/>
                  <w:dstrike w:val="false"/>
                  <w:color w:val="000000"/>
                  <w:sz w:val="20"/>
                  <w:u w:val="none"/>
                  <w:effect w:val="none"/>
                </w:rPr>
                <w:t>23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09">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09">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09">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12">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12">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12">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15">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15">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15">
              <w:r>
                <w:rPr>
                  <w:rStyle w:val="InternetLink"/>
                  <w:rFonts w:ascii="Times New Roman;serif" w:hAnsi="Times New Roman;serif"/>
                  <w:b w:val="false"/>
                  <w:strike w:val="false"/>
                  <w:dstrike w:val="false"/>
                  <w:color w:val="000000"/>
                  <w:sz w:val="20"/>
                  <w:u w:val="none"/>
                  <w:effect w:val="none"/>
                </w:rPr>
                <w:t>37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18">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18">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18">
              <w:r>
                <w:rPr>
                  <w:rStyle w:val="InternetLink"/>
                  <w:rFonts w:ascii="Times New Roman;serif" w:hAnsi="Times New Roman;serif"/>
                  <w:b w:val="false"/>
                  <w:strike w:val="false"/>
                  <w:dstrike w:val="false"/>
                  <w:color w:val="000000"/>
                  <w:sz w:val="20"/>
                  <w:u w:val="none"/>
                  <w:effect w:val="none"/>
                </w:rPr>
                <w:t>37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21">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21">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21">
              <w:r>
                <w:rPr>
                  <w:rStyle w:val="InternetLink"/>
                  <w:rFonts w:ascii="Times New Roman;serif" w:hAnsi="Times New Roman;serif"/>
                  <w:b w:val="false"/>
                  <w:strike w:val="false"/>
                  <w:dstrike w:val="false"/>
                  <w:color w:val="000000"/>
                  <w:sz w:val="20"/>
                  <w:u w:val="none"/>
                  <w:effect w:val="none"/>
                </w:rPr>
                <w:t>37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48">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48">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48">
              <w:r>
                <w:rPr>
                  <w:rStyle w:val="InternetLink"/>
                  <w:rFonts w:ascii="Times New Roman;serif" w:hAnsi="Times New Roman;serif"/>
                  <w:b w:val="false"/>
                  <w:strike w:val="false"/>
                  <w:dstrike w:val="false"/>
                  <w:color w:val="000000"/>
                  <w:sz w:val="20"/>
                  <w:u w:val="none"/>
                  <w:effect w:val="none"/>
                </w:rPr>
                <w:t>97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51">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51">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51">
              <w:r>
                <w:rPr>
                  <w:rStyle w:val="InternetLink"/>
                  <w:rFonts w:ascii="Times New Roman;serif" w:hAnsi="Times New Roman;serif"/>
                  <w:b w:val="false"/>
                  <w:strike w:val="false"/>
                  <w:dstrike w:val="false"/>
                  <w:color w:val="000000"/>
                  <w:sz w:val="20"/>
                  <w:u w:val="none"/>
                  <w:effect w:val="none"/>
                </w:rPr>
                <w:t>97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54">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54">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54">
              <w:r>
                <w:rPr>
                  <w:rStyle w:val="InternetLink"/>
                  <w:rFonts w:ascii="Times New Roman;serif" w:hAnsi="Times New Roman;serif"/>
                  <w:b w:val="false"/>
                  <w:strike w:val="false"/>
                  <w:dstrike w:val="false"/>
                  <w:color w:val="000000"/>
                  <w:sz w:val="20"/>
                  <w:u w:val="none"/>
                  <w:effect w:val="none"/>
                </w:rPr>
                <w:t>97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57">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57">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57">
              <w:r>
                <w:rPr>
                  <w:rStyle w:val="InternetLink"/>
                  <w:rFonts w:ascii="Times New Roman;serif" w:hAnsi="Times New Roman;serif"/>
                  <w:b w:val="false"/>
                  <w:strike w:val="false"/>
                  <w:dstrike w:val="false"/>
                  <w:color w:val="000000"/>
                  <w:sz w:val="20"/>
                  <w:u w:val="none"/>
                  <w:effect w:val="none"/>
                </w:rPr>
                <w:t>97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63">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63">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63">
              <w:r>
                <w:rPr>
                  <w:rStyle w:val="InternetLink"/>
                  <w:rFonts w:ascii="Times New Roman;serif" w:hAnsi="Times New Roman;serif"/>
                  <w:b w:val="false"/>
                  <w:strike w:val="false"/>
                  <w:dstrike w:val="false"/>
                  <w:color w:val="000000"/>
                  <w:sz w:val="20"/>
                  <w:u w:val="none"/>
                  <w:effect w:val="none"/>
                </w:rPr>
                <w:t>98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28e88fa6fbb64cb4a6f1ae40e2cf7659_166">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8e88fa6fbb64cb4a6f1ae40e2cf7659_166">
              <w:r>
                <w:rPr>
                  <w:rStyle w:val="InternetLink"/>
                  <w:rFonts w:ascii="Times New Roman;serif" w:hAnsi="Times New Roman;serif"/>
                  <w:b w:val="false"/>
                  <w:strike w:val="false"/>
                  <w:dstrike w:val="false"/>
                  <w:color w:val="000000"/>
                  <w:sz w:val="20"/>
                  <w:u w:val="none"/>
                  <w:effect w:val="none"/>
                </w:rPr>
                <w:t>99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87"/>
        <w:gridCol w:w="2349"/>
        <w:gridCol w:w="2295"/>
        <w:gridCol w:w="211"/>
        <w:gridCol w:w="829"/>
        <w:gridCol w:w="109"/>
        <w:gridCol w:w="109"/>
        <w:gridCol w:w="109"/>
        <w:gridCol w:w="109"/>
        <w:gridCol w:w="211"/>
        <w:gridCol w:w="829"/>
        <w:gridCol w:w="158"/>
      </w:tblGrid>
      <w:tr>
        <w:trPr/>
        <w:tc>
          <w:tcPr>
            <w:tcW w:w="2887"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606,819 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stockholdersʼ equity</w:t>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86,471 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Stockholdersʼ 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as of May 31, 2026 and November 30, 2025; no shares issued and outstanding as of May 31, 2026 and November 30, 2025</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500,000,000 shares authorized as of May 31, 2026 and November 30, 2025; 103,701,511 and 101,807,484 shares issued and outstanding as of May 31, 2026 and November 30, 2025, respectively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1,541,766 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(1,003,226)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stockholdersʼ equity</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538,747 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stockholdersʼ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NURIX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18"/>
        <w:gridCol w:w="1446"/>
        <w:gridCol w:w="1459"/>
        <w:gridCol w:w="227"/>
        <w:gridCol w:w="795"/>
        <w:gridCol w:w="119"/>
        <w:gridCol w:w="109"/>
        <w:gridCol w:w="109"/>
        <w:gridCol w:w="109"/>
        <w:gridCol w:w="211"/>
        <w:gridCol w:w="782"/>
        <w:gridCol w:w="109"/>
        <w:gridCol w:w="109"/>
        <w:gridCol w:w="109"/>
        <w:gridCol w:w="109"/>
        <w:gridCol w:w="211"/>
        <w:gridCol w:w="887"/>
        <w:gridCol w:w="109"/>
        <w:gridCol w:w="109"/>
        <w:gridCol w:w="109"/>
        <w:gridCol w:w="109"/>
        <w:gridCol w:w="211"/>
        <w:gridCol w:w="782"/>
        <w:gridCol w:w="158"/>
      </w:tblGrid>
      <w:tr>
        <w:trPr/>
        <w:tc>
          <w:tcPr>
            <w:tcW w:w="171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103,247 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(94,204)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(89,806)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(89,535)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basic and diluted</w:t>
            </w:r>
          </w:p>
        </w:tc>
        <w:tc>
          <w:tcPr>
            <w:tcW w:w="114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111,084,423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83,882,477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110,583,610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83,723,403</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80"/>
        <w:gridCol w:w="1458"/>
        <w:gridCol w:w="1485"/>
        <w:gridCol w:w="211"/>
        <w:gridCol w:w="792"/>
        <w:gridCol w:w="109"/>
        <w:gridCol w:w="109"/>
        <w:gridCol w:w="109"/>
        <w:gridCol w:w="109"/>
        <w:gridCol w:w="211"/>
        <w:gridCol w:w="792"/>
        <w:gridCol w:w="109"/>
        <w:gridCol w:w="109"/>
        <w:gridCol w:w="109"/>
        <w:gridCol w:w="109"/>
        <w:gridCol w:w="211"/>
        <w:gridCol w:w="897"/>
        <w:gridCol w:w="109"/>
        <w:gridCol w:w="109"/>
        <w:gridCol w:w="109"/>
        <w:gridCol w:w="109"/>
        <w:gridCol w:w="211"/>
        <w:gridCol w:w="792"/>
        <w:gridCol w:w="157"/>
      </w:tblGrid>
      <w:tr>
        <w:trPr/>
        <w:tc>
          <w:tcPr>
            <w:tcW w:w="168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available-for-sale marketable securities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(99,985)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45"/>
        <w:gridCol w:w="766"/>
        <w:gridCol w:w="772"/>
        <w:gridCol w:w="304"/>
        <w:gridCol w:w="304"/>
        <w:gridCol w:w="308"/>
        <w:gridCol w:w="109"/>
        <w:gridCol w:w="109"/>
        <w:gridCol w:w="109"/>
        <w:gridCol w:w="196"/>
        <w:gridCol w:w="331"/>
        <w:gridCol w:w="109"/>
        <w:gridCol w:w="109"/>
        <w:gridCol w:w="109"/>
        <w:gridCol w:w="109"/>
        <w:gridCol w:w="196"/>
        <w:gridCol w:w="871"/>
        <w:gridCol w:w="109"/>
        <w:gridCol w:w="109"/>
        <w:gridCol w:w="109"/>
        <w:gridCol w:w="109"/>
        <w:gridCol w:w="267"/>
        <w:gridCol w:w="574"/>
        <w:gridCol w:w="150"/>
        <w:gridCol w:w="109"/>
        <w:gridCol w:w="109"/>
        <w:gridCol w:w="109"/>
        <w:gridCol w:w="196"/>
        <w:gridCol w:w="775"/>
        <w:gridCol w:w="109"/>
        <w:gridCol w:w="109"/>
        <w:gridCol w:w="109"/>
        <w:gridCol w:w="109"/>
        <w:gridCol w:w="196"/>
        <w:gridCol w:w="736"/>
        <w:gridCol w:w="156"/>
      </w:tblGrid>
      <w:tr>
        <w:trPr/>
        <w:tc>
          <w:tcPr>
            <w:tcW w:w="114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xml:space="preserve">equity </w:t>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November 30,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75,870,718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marketable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(56,351)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February 28, 2025</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76,234,799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480,917 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marketable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(43,464)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May 31, 2025</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76,433,664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(838,584)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447,603 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84"/>
        <w:gridCol w:w="644"/>
        <w:gridCol w:w="649"/>
        <w:gridCol w:w="334"/>
        <w:gridCol w:w="334"/>
        <w:gridCol w:w="338"/>
        <w:gridCol w:w="109"/>
        <w:gridCol w:w="109"/>
        <w:gridCol w:w="109"/>
        <w:gridCol w:w="196"/>
        <w:gridCol w:w="421"/>
        <w:gridCol w:w="109"/>
        <w:gridCol w:w="109"/>
        <w:gridCol w:w="109"/>
        <w:gridCol w:w="109"/>
        <w:gridCol w:w="196"/>
        <w:gridCol w:w="871"/>
        <w:gridCol w:w="109"/>
        <w:gridCol w:w="109"/>
        <w:gridCol w:w="109"/>
        <w:gridCol w:w="109"/>
        <w:gridCol w:w="262"/>
        <w:gridCol w:w="583"/>
        <w:gridCol w:w="146"/>
        <w:gridCol w:w="109"/>
        <w:gridCol w:w="109"/>
        <w:gridCol w:w="109"/>
        <w:gridCol w:w="196"/>
        <w:gridCol w:w="900"/>
        <w:gridCol w:w="109"/>
        <w:gridCol w:w="109"/>
        <w:gridCol w:w="109"/>
        <w:gridCol w:w="109"/>
        <w:gridCol w:w="196"/>
        <w:gridCol w:w="736"/>
        <w:gridCol w:w="157"/>
      </w:tblGrid>
      <w:tr>
        <w:trPr/>
        <w:tc>
          <w:tcPr>
            <w:tcW w:w="108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xml:space="preserve">equity </w:t>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November 30, 2025</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101,807,484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538,747 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8"/>
              </w:rPr>
              <w:t xml:space="preserve">Issuance of common stock in </w:t>
            </w:r>
            <w:r>
              <w:rPr>
                <w:color w:val="000000"/>
                <w:shd w:fill="FFFFFF" w:val="clear"/>
              </w:rPr>
              <w:t>“</w:t>
            </w:r>
            <w:r>
              <w:rPr>
                <w:rFonts w:ascii="Times New Roman;serif" w:hAnsi="Times New Roman;serif"/>
                <w:b w:val="false"/>
                <w:color w:val="000000"/>
                <w:sz w:val="18"/>
              </w:rPr>
              <w:t>at the market</w:t>
            </w:r>
            <w:r>
              <w:rPr>
                <w:color w:val="000000"/>
              </w:rPr>
              <w:t xml:space="preserve">” </w:t>
            </w:r>
            <w:r>
              <w:rPr>
                <w:rFonts w:ascii="Times New Roman;serif" w:hAnsi="Times New Roman;serif"/>
                <w:b w:val="false"/>
                <w:color w:val="000000"/>
                <w:sz w:val="18"/>
              </w:rPr>
              <w:t>financing, net of issuance costs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marketable securities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February 28, 2026</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103,399,813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480,893 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marketable securities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May 31, 2026</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103,701,511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1,582,603 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(1,179,935)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402,627 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3"/>
        <w:gridCol w:w="2368"/>
        <w:gridCol w:w="2384"/>
        <w:gridCol w:w="211"/>
        <w:gridCol w:w="885"/>
        <w:gridCol w:w="109"/>
        <w:gridCol w:w="109"/>
        <w:gridCol w:w="109"/>
        <w:gridCol w:w="109"/>
        <w:gridCol w:w="211"/>
        <w:gridCol w:w="780"/>
        <w:gridCol w:w="157"/>
      </w:tblGrid>
      <w:tr>
        <w:trPr/>
        <w:tc>
          <w:tcPr>
            <w:tcW w:w="2773"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May 31,</w:t>
            </w:r>
          </w:p>
        </w:tc>
      </w:tr>
      <w:tr>
        <w:trPr/>
        <w:tc>
          <w:tcPr>
            <w:tcW w:w="7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 on marketable securities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(124,248)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issuances of common stock in “at the market” financing, net of issuance costs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 included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recognized in exchange for lease obligations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26,708 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52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52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52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52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598" w:type="dxa"/>
        <w:jc w:val="center"/>
        <w:tblInd w:w="0" w:type="dxa"/>
        <w:tblLayout w:type="fixed"/>
        <w:tblCellMar>
          <w:top w:w="28" w:type="dxa"/>
          <w:left w:w="28" w:type="dxa"/>
          <w:bottom w:w="28" w:type="dxa"/>
          <w:right w:w="28" w:type="dxa"/>
        </w:tblCellMar>
      </w:tblPr>
      <w:tblGrid>
        <w:gridCol w:w="1862"/>
        <w:gridCol w:w="1637"/>
        <w:gridCol w:w="1645"/>
        <w:gridCol w:w="211"/>
        <w:gridCol w:w="721"/>
        <w:gridCol w:w="109"/>
        <w:gridCol w:w="109"/>
        <w:gridCol w:w="109"/>
        <w:gridCol w:w="109"/>
        <w:gridCol w:w="211"/>
        <w:gridCol w:w="721"/>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May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 Organization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Nurix Therapeutics, Inc. (the Company) was incorporated in the state of Delaware on August 27, 2009, and is headquartered in Brisbane, California. The Company is a clinical stage biopharmaceutical company focused on the discovery, development and commercialization of targeted protein degradation medicines, the next frontier in innovative drug design aimed at improving treatment options for patients with cancer and inflammatory diseases. Powered by a fully artificial intelligence (AI)-integrated discovery engine capable of tackling any protein class, and coupled with leading ligase expertise, the Company holds a differentiated position in translating the science of protein degradation into clinical advancements with the aim of establishing degrader-based treatments at the forefront of patient care.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Distribution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2021, the Company filed a shelf registration statement on Form S-3 with the Securities and Exchange Commission (SEC), which was amended in February 2023 (the Shelf Registration Statement) and which expired in August 2024 with respect to additional sales of securities. The Shelf Registration Statement, which included a base prospectus, allowed the Company to offer and sell up to $450.0 million of the Company’s registered common stock, preferred stock, debt securities, warrants, subscription rights and/or units or any combination of securities described in the prospectus in one or more offerings. In addition, in August 2021, the Company entered into an Equity Distribution Agreement with Piper Sandler &amp; Co. (Piper Sandler) pursuant to which, from time to time, the Company could offer and sell through Piper Sandler up to $150.0 million of the common stock registered under the Shelf Registration Statement pursuant to one or more “at the market”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was not required to sell any shares at any time during the term of the Equity Distribution Agreement. The Company agreed to pay Piper Sandler a commission of 3.0% of the gross sales price of any shares sold pursuant to the Equity Distribution Agreement. In June 2022, the Company issued and sold 2,000,000 shares of common stock under the Equity Distribution Agreement at a price of $10.00 per share for gross proceeds of $20.0 million before deducting offering commissions and expenses paid by the Company. In May 2024, the Company issued and sold 3,194,809 shares of common stock under the Equity Distribution Agreement at various prices ranging from $15.50 to $16.00 per share for total gross proceeds of $50.2 million, before deducting offering commissions and expenses paid by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2024, the Company filed an automatic shelf registration statement on Form S-3 (the Automatic Shelf Registration Statement). The Automatic Shelf Registration Statement, which includes a base prospectus, allows the Company at any time to offer and sell the Company’s registered common stock, preferred stock, debt securities, warrants, subscription rights and/or units or any combination of securities described in the prospectus in one or more offerings. On July 11, 2024, the Company entered into Amendment No. 1 to the Equity Distribution Agreement (as amended, the Amended Equity Distribution Agreement), pursuant to which, from time to time, the Company could offer and sell through Piper Sandler up to $150.0 million of common stock registered under the Automatic Shelf Registration Statement pursuant to one or more “at the market”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was not required to sell any shares at any time during the term of the Amended Equity Distribution Agreement. The Company agreed to pay Piper Sandler a commission of up to 3.0% of the gross sales price of any shares sold pursuant to the Amended Equity Distribution Agreement. In August 2024, the Company issued and sold 2,145,000 shares of common stock under the Amended Equity Distribution Agreement at a price of $20.00 per share for total gross proceeds of $42.9 million before deducting offering commissions and expenses paid by the Company. In October 2024, the Company issued and sold 4,803,573 shares of common stock under the Amended Equity Distribution Agreement at various prices ranging from $21.50 to $25.00 per share for total gross proceeds of $107.1 million, before deducting offering commissions and expenses paid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31, 2024, the Company entered into Amendment No. 2 to the Equity Distribution Agreement (as amended, the Second Amended Equity Distribution Agreement), pursuant to which, from time to time, the Company could offer and sell through Piper Sandler up to $300.0 million of common stock registered under the Automatic Shelf Registration Statement pursuant to one or more “at the market” offerings. The Company was not required to sell any shares at any time during the term of the Second Amended Equity Distribution Agreement. The Company agreed to pay Piper Sandler a commission of up to 3.0% of the gross sales price of any shares sold pursuant to the Second Amended Equity Distribution Agreement. In November 2024, the Company issued and sold 3,634,393 shares of common stock under the Second Amended Equity Distribution Agreement at a price of $26.25 per share for total gross proceeds of $95.4 million before deducting offering commissions and expenses paid by the Company. In January 2026, the Company issued and sold 1,000,000 shares of common stock under the Second Amended Equity Distribution Agreement at a price of $18.25 per share for total gross proceeds of $18.3 million before deducting offering commissions and expenses paid by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6, 2026, the Company entered into Amendment No. 3 to the Equity Distribution Agreement (as amended, the Third Amended Equity Distribution Agreement), pursuant to which, from time to time, the Company may offer and sell through Piper Sandler up to $413.65 million of common stock, which includes $113.65 million in gross proceeds sold under the Second Amended Equity Distribution Agreement, registered under the Automatic Shelf Registration Statement pursuant to one or more “at the market” offerings. The Company is not required to sell any shares at any time during the term of the Third Amended Equity Distribution Agreement. The Company agreed to pay Piper Sandler a commission of up to 3.0% of the gross sales price of any shares sold pursuant to the Third Amended Equity Distribution Agreement. As of May 31, 2026, the Company had $300.0 million of common stock remaining available for sale under the Third Amended Equity Distribution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Registered Direct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the Company entered into separate securities purchase agreements with certain purchasers to issue and sell pre</w:t>
        <w:noBreakHyphen/>
        <w:t>funded warrants to purchase an aggregate of 6,814,920 shares of the Company’s common stock in registered direct offerings (RDOs) at a price of $13.939 per pre-funded warrant (the 2022 Pre-Funded Warrants). Net proceeds from the RDOs were $94.8 million, after deducting offering expenses of $0.2 million. Refer to Note 7 for more information regarding the 2022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completed an underwritten registered direct offering (the 2025 RDO) and issued 24,485,799 shares of common stock at a price of $10.21 per share. Net proceeds from the 2025 RDO were $234.4 million, after deducting underwriting discounts and commissions and offering expenses of $15.6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Public Offering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Company completed a public offering (2024 Public Offering) pursuant to the Shelf Registration Statement and issued 11,916,667 shares of common stock (including the exercise by the underwriters of their option to purchase an additional 1,750,000 shares of common stock) at a price to the public of $15.00 per share, and pre-funded warrants to purchase an aggregate of 1,500,100 shares of the Company’s common stock at a price of $14.999 per pre-funded warrant (the 2024 Pre-Funded Warrants). Net proceeds from the 2024 Public Offering were approximately $188.7 million, after deducting offering commissions and expenses of $12.5 million. Refer to Note 7 for more information regarding the 2024 Pre-Funded Warrants.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Management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have been prepared assuming that the Company will continue as a going concern. As of May 31, 2026, the Company had cash, cash equivalents and marketable securities of $443.5 million and an accumulated deficit of $1.2 billion. Management believes that its cash, cash equivalents and short-term marketable securities are sufficient to continue operating activities for at least 12 months following the issuance date of these condensed financial statements. Future capital requirements will depend on many factors, including the timing and extent of spending on research and development and payments the Company may receive under its collaboration agreements with Sanofi, Gilead and Pfizer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Based on the Company’s current forecast of future operating results, the Company has concluded that its cash, cash equivalents and marketable securities are sufficient to continue operating activities for at least 12 months following the issuance date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condensed financial statements have been prepared in accordance with U.S. generally accepted accounting principles (U.S. GAAP) and applicable rules and regulations of the SEC regarding interim financial reporting. The Company’s condensed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six months ended May 31, 2026 and 2025. The condensed balance sheet as of November 30, 2025,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interim financial statements should be read in conjunction with the audited annual financial statements and notes thereto contained in the Company’s Annual Report on Form 10-K for the year ended November 30, 2025, as filed with the SEC on January 28, 2026. These interim results are not necessarily indicative of results to be expected for the full fiscal year or any future interim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differ materially from those estimates. Refer to Note 3 for more information regarding the estimates related to revenue recognition.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 of Credit Risk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cash equivalents and marketable 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Risks and Uncertainties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 candidates for which the Company receives marketing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requires management to make estimates and assumptions that affect the amounts reported in the condensed financial statements and accompanying notes. The extent to which the increasing financial market volatility and uncertainty may directly or indirectly impact the condensed financial statements is highly uncertain and subject to change.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relies on single source manufacturers and suppliers for the supply of its drug candidates. Disruption from these manufacturers or suppliers would have a negative impact on the Company’s business, financial position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is in the process of evaluating the impact of this new guidance on its disclosures, but does not expect the adoption of ASU 2023-09 to have a material impact on the Company's financial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2024-03—Income Statement—Reporting Comprehensive Income—Expense Disaggregation Disclosures (Subtopic 220-40): Disaggregation of Income Statement Expenses (ASU 2024-03), which is intended to enhance transparency into the nature and function of expenses, primarily through additional disclosures on certain cost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in the process of evaluating the impact of this new guidance on its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which is intended to simplify the capitalization guidance for internal-use software by removing references to project stages and clarifying when capitalization of eligible costs is required. ASU 2025-06 is effective for annual periods beginning after December 15, 2027, and interim periods within those fiscal years. Early adoption is permitted. The Company is in the process of evaluating the impact of this new guidance on its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to the Company’s significant accounting policies during the six months ended May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3. Collaboration Agreements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Gilead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DEL-AI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the Company received in the second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the Company an upfront payment of $45.0 million plus $3.0 million in additional fees. In addition, from the signing of the Gilead Agreement to May 31, 2026, the Company has received payments of $47.0 million for research milestones and additional payments, $20.0 million for a license option exercise payment, $15.0 million in research term extension fees and $5.0 million for a clinical milestone payment. As of May 31, 2026, the Company is eligible to receive up to approximately $1.8 billion in total additional payments, including payments of up to $508.5 million upon the achievement of specified research and development milestones, up to $60.0 million in certain additional fees related to target licensing and reservation and up to $1.2 billion upon the achievement of certain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May 31, 2026. The Company re-evaluates the transaction price in each reporting period and as uncertain events are resolved or other changes in circumstances occur. The Company determined that the transaction price at the inception of the initial research term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initial research term of five years, which represents the estimated timing of completion of the identified deliverables. Additionally, the Company considered the impact of Gilead terminating the Gilead Agreement prior to the completion of the research services during the five-year initial research term and determined that there were significant economic costs to Gilead for doing so, and as such, did not adjust the contract term. The initial research term ended in the third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Gilead Research Term Extension, which has a term of two years and did not represent a material right at the inception of the Gilead Agreement because it does not contain a significant and incremental discount, is accounted for as a separate contract commencing in June 2024. The research term extension fee of $15.0 million is recognized as collaboration revenue using the cost-based input method over the estimated extended research term of two years, which represents the estimated timing of completion of the identified deliverables. As of May 31, 2026, no milestones have been achieved related to the extended research term.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May 31, 2026, the Company recognized collaboration revenue related to the Gilead Research Extension of $2.1 million and $3.6 million, respectively, all of which was included in deferred revenue as of the beginning of the period. For the three and six months ended May 31, 2025, the Company recognized collaboration revenue related to the Gilead Research Extension of $1.6 million and $3.3 million, respectively, all of which was related to the $15.0 million research term extension fee received in the second quarter of fiscal year 2024. As of May 31, 2026, deferred revenue related to the Gilead Agreement was $0.2 million, all of which was current. As of November 30, 2025, deferred revenue related to the Gilead Agreement was $3.8 million, all of which was current.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Sanofi</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DEL-AI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a key drug target in type 2 inflammation, by two years (the Sixth Sanofi Amendment), which increased overall forecasted costs and had an impact on revenue recognition. In April 2026, the Company and Sanofi entered into the Seventh Amendment to the Sanofi Agreement to enable Sanofi to continue research activities for the collaboration target STAT6 and for an additional collaboration target after the expiration of the original research term, which had no impact on revenue recognition.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its future internal programs, provided that the Company distinguished future programs as excluded from the scope of the collaboration.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the Company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the Company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May 31, 2026, the Company has received payments of $22.0 million for research milestones and $30.0 million for license extension fees. As of May 31, 2026, the Company is eligible to receive up to approximately $937.0 million in total additional payments, including payments of up to $187.0 million upon the achievement of specified research and development milestones, up to $250.0 million upon the achievement of specified regulatory milestones and up to $500.0 million upon the achievement of certain sales milestones. The Company is also eligible to receive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May 31, 2026.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$20.0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 The research period was extended as part of the Sixth Sanofi Amendment and a cumulative effect was recorded in the second quarter of fiscal year 2024. The research term ended in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May 31, 2026, the Company recognized $2.0 million of collaboration revenue related to the Sanofi Agreement. For the three and six months ended May 31, 2025, the Company recognized collaboration revenue related to the Sanofi Agreement of $3.4 million and $16.1 million, respectively, of which $3.1 million and $9.1 million, respectively, were included in deferred revenue as of the beginning of the period, and zero and $6.4 million, respectively, were related to activities satisfied in previous periods. There was no deferred revenue related to the Sanofi Agreement as of May 31, 2026, and November 30, 2025, and all performance obligations were satisfied.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Pfizer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 antibody conjugates (DACs), a new class of medicines for use in cancer treatment, and advancing these DAC drug candidates through preclinical and clinical development and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Pfizer Agreement, the Company received an upfront payment of $60.0 million. In addition, from the signing of the Pfizer Agreement to May 31, 2026, the Company has received payments of $15.0 million for research milestones. As of May 31, 2026, the Company is eligible to receive up to approximately $3.4 billion in contingent payments across multiple programs, including payments of up to $621.0 million upon the achievement of specified research and development milestones, up to $19.5 million in certain additional fees related to target licensing and reservation, up to $873.0 million upon the achievement of specified regulatory milestones and up to $1.8 billion upon the achievement of certain sales milestones. The Company is also eligible for mid-single to low double digit percentage tiered royalties on future sales.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Pfizer Agreement: (1) the research licenses, (2) the research services, (3) the participation of a gatekeeper and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May 31, 2026. The Company re-evaluates the transaction price in each reporting period and as uncertain events are resolved or other changes in circumstances occur. The Company determined that the transaction price at the inception of the Pfizer Agreement consisted of the upfront payment of $60.0 million. Subsequently, upon achievement of research milestones, $15.0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four years, not to extend beyond six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May 31, 2026, the Company recognized collaboration revenue related to the Pfizer Agreement of $5.0 million and $9.7 million, respectively, all of which was included in deferred revenue as of the beginning of the period. For the three and six months ended May 31, 2025, the Company recognized collaboration revenue related to the Pfizer Agreement of $4.0 million and $8.0 million, respectively, all of which was included in deferred revenue as of the beginning of the period. As of May 31, 2026, deferred revenue related to the Pfizer Agreement was $19.1 million, of which $13.1 million was current. As of November 30, 2025, deferred revenue related to the Pfizer Agreement was $23.8 million, of which $13.8 million was current, and included $5.0 million in contract assets representing the unbilled amount related to the research milestone achieved in November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Condensed Balance Sheet Components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consisted of the following (in thousands): </w:t>
      </w:r>
    </w:p>
    <w:tbl>
      <w:tblPr>
        <w:tblW w:w="6692" w:type="dxa"/>
        <w:jc w:val="center"/>
        <w:tblInd w:w="0" w:type="dxa"/>
        <w:tblLayout w:type="fixed"/>
        <w:tblCellMar>
          <w:top w:w="28" w:type="dxa"/>
          <w:left w:w="28" w:type="dxa"/>
          <w:bottom w:w="28" w:type="dxa"/>
          <w:right w:w="28" w:type="dxa"/>
        </w:tblCellMar>
      </w:tblPr>
      <w:tblGrid>
        <w:gridCol w:w="1504"/>
        <w:gridCol w:w="1322"/>
        <w:gridCol w:w="1328"/>
        <w:gridCol w:w="211"/>
        <w:gridCol w:w="721"/>
        <w:gridCol w:w="109"/>
        <w:gridCol w:w="109"/>
        <w:gridCol w:w="109"/>
        <w:gridCol w:w="109"/>
        <w:gridCol w:w="227"/>
        <w:gridCol w:w="777"/>
        <w:gridCol w:w="166"/>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and Other Current Liabilities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consisted of the following (in thousands): </w:t>
      </w:r>
    </w:p>
    <w:tbl>
      <w:tblPr>
        <w:tblW w:w="6797" w:type="dxa"/>
        <w:jc w:val="center"/>
        <w:tblInd w:w="0" w:type="dxa"/>
        <w:tblLayout w:type="fixed"/>
        <w:tblCellMar>
          <w:top w:w="28" w:type="dxa"/>
          <w:left w:w="28" w:type="dxa"/>
          <w:bottom w:w="28" w:type="dxa"/>
          <w:right w:w="28" w:type="dxa"/>
        </w:tblCellMar>
      </w:tblPr>
      <w:tblGrid>
        <w:gridCol w:w="1543"/>
        <w:gridCol w:w="1353"/>
        <w:gridCol w:w="1363"/>
        <w:gridCol w:w="211"/>
        <w:gridCol w:w="721"/>
        <w:gridCol w:w="109"/>
        <w:gridCol w:w="109"/>
        <w:gridCol w:w="109"/>
        <w:gridCol w:w="109"/>
        <w:gridCol w:w="227"/>
        <w:gridCol w:w="777"/>
        <w:gridCol w:w="166"/>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contract research and lab supplies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clinical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1—Inputs that reflect unadjusted quoted prices in active markets for identical assets or liabilities that the Company has the ability to access at the measurement date;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2—Inputs other than quoted prices included within Level 1 that are observable for the asset or liability either directly or indirectly, including inputs in markets that are not considered to be active; and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3—Inputs that are unobservable.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investments, which consist of cash equivalents and available-for-sale marketable securities, that are measured at fair value on a recurring basis as of May 31, 2026, and November 30,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tbl>
      <w:tblPr>
        <w:tblW w:w="9667" w:type="dxa"/>
        <w:jc w:val="center"/>
        <w:tblInd w:w="0" w:type="dxa"/>
        <w:tblLayout w:type="fixed"/>
        <w:tblCellMar>
          <w:top w:w="28" w:type="dxa"/>
          <w:left w:w="28" w:type="dxa"/>
          <w:bottom w:w="28" w:type="dxa"/>
          <w:right w:w="28" w:type="dxa"/>
        </w:tblCellMar>
      </w:tblPr>
      <w:tblGrid>
        <w:gridCol w:w="1152"/>
        <w:gridCol w:w="1015"/>
        <w:gridCol w:w="1028"/>
        <w:gridCol w:w="109"/>
        <w:gridCol w:w="109"/>
        <w:gridCol w:w="109"/>
        <w:gridCol w:w="238"/>
        <w:gridCol w:w="238"/>
        <w:gridCol w:w="243"/>
        <w:gridCol w:w="109"/>
        <w:gridCol w:w="109"/>
        <w:gridCol w:w="109"/>
        <w:gridCol w:w="211"/>
        <w:gridCol w:w="826"/>
        <w:gridCol w:w="109"/>
        <w:gridCol w:w="109"/>
        <w:gridCol w:w="109"/>
        <w:gridCol w:w="109"/>
        <w:gridCol w:w="257"/>
        <w:gridCol w:w="495"/>
        <w:gridCol w:w="134"/>
        <w:gridCol w:w="109"/>
        <w:gridCol w:w="109"/>
        <w:gridCol w:w="109"/>
        <w:gridCol w:w="233"/>
        <w:gridCol w:w="541"/>
        <w:gridCol w:w="121"/>
        <w:gridCol w:w="109"/>
        <w:gridCol w:w="109"/>
        <w:gridCol w:w="109"/>
        <w:gridCol w:w="211"/>
        <w:gridCol w:w="826"/>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46,704 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9658" w:type="dxa"/>
        <w:jc w:val="center"/>
        <w:tblInd w:w="0" w:type="dxa"/>
        <w:tblLayout w:type="fixed"/>
        <w:tblCellMar>
          <w:top w:w="28" w:type="dxa"/>
          <w:left w:w="28" w:type="dxa"/>
          <w:bottom w:w="28" w:type="dxa"/>
          <w:right w:w="28" w:type="dxa"/>
        </w:tblCellMar>
      </w:tblPr>
      <w:tblGrid>
        <w:gridCol w:w="1156"/>
        <w:gridCol w:w="1015"/>
        <w:gridCol w:w="1024"/>
        <w:gridCol w:w="109"/>
        <w:gridCol w:w="109"/>
        <w:gridCol w:w="109"/>
        <w:gridCol w:w="238"/>
        <w:gridCol w:w="238"/>
        <w:gridCol w:w="243"/>
        <w:gridCol w:w="109"/>
        <w:gridCol w:w="109"/>
        <w:gridCol w:w="10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available-for-sale marketable securities in an unrealized loss position for which an allowance for credit losses has not been recorded as of May 31, 2026, and November 30, 2025, aggregated by investment category and length of time in a continuous unrealized loss position (in thousands): </w:t>
      </w:r>
    </w:p>
    <w:tbl>
      <w:tblPr>
        <w:tblW w:w="10205" w:type="dxa"/>
        <w:jc w:val="left"/>
        <w:tblInd w:w="0" w:type="dxa"/>
        <w:tblLayout w:type="fixed"/>
        <w:tblCellMar>
          <w:top w:w="28" w:type="dxa"/>
          <w:left w:w="28" w:type="dxa"/>
          <w:bottom w:w="28" w:type="dxa"/>
          <w:right w:w="28" w:type="dxa"/>
        </w:tblCellMar>
      </w:tblPr>
      <w:tblGrid>
        <w:gridCol w:w="537"/>
        <w:gridCol w:w="460"/>
        <w:gridCol w:w="357"/>
        <w:gridCol w:w="109"/>
        <w:gridCol w:w="109"/>
        <w:gridCol w:w="109"/>
        <w:gridCol w:w="211"/>
        <w:gridCol w:w="826"/>
        <w:gridCol w:w="109"/>
        <w:gridCol w:w="109"/>
        <w:gridCol w:w="109"/>
        <w:gridCol w:w="109"/>
        <w:gridCol w:w="326"/>
        <w:gridCol w:w="753"/>
        <w:gridCol w:w="169"/>
        <w:gridCol w:w="109"/>
        <w:gridCol w:w="109"/>
        <w:gridCol w:w="109"/>
        <w:gridCol w:w="231"/>
        <w:gridCol w:w="445"/>
        <w:gridCol w:w="119"/>
        <w:gridCol w:w="111"/>
        <w:gridCol w:w="111"/>
        <w:gridCol w:w="111"/>
        <w:gridCol w:w="362"/>
        <w:gridCol w:w="697"/>
        <w:gridCol w:w="188"/>
        <w:gridCol w:w="109"/>
        <w:gridCol w:w="109"/>
        <w:gridCol w:w="109"/>
        <w:gridCol w:w="211"/>
        <w:gridCol w:w="826"/>
        <w:gridCol w:w="109"/>
        <w:gridCol w:w="109"/>
        <w:gridCol w:w="109"/>
        <w:gridCol w:w="109"/>
        <w:gridCol w:w="320"/>
        <w:gridCol w:w="739"/>
        <w:gridCol w:w="242"/>
      </w:tblGrid>
      <w:tr>
        <w:trPr/>
        <w:tc>
          <w:tcPr>
            <w:tcW w:w="5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
        <w:gridCol w:w="447"/>
        <w:gridCol w:w="451"/>
        <w:gridCol w:w="109"/>
        <w:gridCol w:w="109"/>
        <w:gridCol w:w="109"/>
        <w:gridCol w:w="211"/>
        <w:gridCol w:w="721"/>
        <w:gridCol w:w="109"/>
        <w:gridCol w:w="109"/>
        <w:gridCol w:w="109"/>
        <w:gridCol w:w="109"/>
        <w:gridCol w:w="391"/>
        <w:gridCol w:w="699"/>
        <w:gridCol w:w="204"/>
        <w:gridCol w:w="109"/>
        <w:gridCol w:w="109"/>
        <w:gridCol w:w="109"/>
        <w:gridCol w:w="233"/>
        <w:gridCol w:w="450"/>
        <w:gridCol w:w="120"/>
        <w:gridCol w:w="111"/>
        <w:gridCol w:w="111"/>
        <w:gridCol w:w="111"/>
        <w:gridCol w:w="375"/>
        <w:gridCol w:w="724"/>
        <w:gridCol w:w="195"/>
        <w:gridCol w:w="109"/>
        <w:gridCol w:w="109"/>
        <w:gridCol w:w="109"/>
        <w:gridCol w:w="211"/>
        <w:gridCol w:w="721"/>
        <w:gridCol w:w="109"/>
        <w:gridCol w:w="109"/>
        <w:gridCol w:w="109"/>
        <w:gridCol w:w="109"/>
        <w:gridCol w:w="381"/>
        <w:gridCol w:w="680"/>
        <w:gridCol w:w="289"/>
      </w:tblGrid>
      <w:tr>
        <w:trPr/>
        <w:tc>
          <w:tcPr>
            <w:tcW w:w="5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interest receivable related to the Company’s marketable securities was $1.9 million and $1.5 million as of May 31, 2026, and November 30, 2025, respectively, and was included in prepaid expenses and other current assets on the condensed balance sheet.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money market funds and U.S. treasury securities, which are valued based on quoted market prices in active markets with no valuation adjustment, as Level 1 assets within the fair value hierarchy.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marketable securities in U.S. government agency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six months ended May 31, 2026 and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May 31, 2026, and November 30, 2025,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May 31, 2026, and November 30, 2025, no allowance for credit losses for the Company’s marketable securities was recorded. During the three and six months ended May 31, 2026 and 2025, the Company did not recognize any impairment losses related to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May 31, 2026, the Company was not a party to any material legal proceedings.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Indemnifications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financial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condensed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Leases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previously leased office and laboratory facilities in San Francisco, California. The related lease agreements expired in accordance with their terms on December 31, 2025. The Company vacated the premises and has no further obligations under these agreements. Accordingly, the right-of-use (ROU) assets and corresponding lease liabilities associated with these facilities were fully amortized and settled during the quarter ended February 28, 2026.</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lease agreement (the Brisbane Lease) for the lease of approximately 159,959 square feet of office space located at 1600 Sierra Point Parkway, Brisbane, California for a research and development laboratory and office space. The lease commenced in March 2025 when the underlying assets became available for use and the Company recorded a $26.7 million ROU asset and lease liability on the condensed balance sheet. A security deposit of $2.4 million was also recorded in other assets on the condensed balance sheet. In addition, the lease provides for a tenant improvement allowance of approximately $8.0 million, which is expected to be fully utilized.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the Brisbane Lease was amended to include an additional 35,929 square feet of office space located at 1400 Sierra Point Parkway, Brisbane, California. The lease for the additional space commenced in June 2025 when the underlying assets became available for use and the Company recorded a $5.8 million ROU asset and lease liability on the condensed balance sheet. A security deposit of $0.5 million was also recorded in other assets on the condensed balance sheet. The Brisbane Lease, as amended, will expire on September 30, 2031, unless terminated earlier. Future minimum lease payments under the Brisbane Lease, as amended, total $51.6 million, which does not include the payment of additional rent to cover the Company’s share of annual operating and tax expenses and utilities costs for the building.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$0.6 million and $1.6 million for the three and six months ended May 31, 2026, respectively, and $1.3 million and $3.2 million for the three and six months ended May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expenses, excluding variable lease payments, were $2.6 million and $5.2 million for the three and six months ended May 31, 2026, respectively, and $3.7 million and $5.9 million for the three and six months ended May 31, 2025, respectively. Short-term lease expense was not material for the periods presented.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were as follows (in thousands):</w:t>
      </w:r>
    </w:p>
    <w:tbl>
      <w:tblPr>
        <w:tblW w:w="8108" w:type="dxa"/>
        <w:jc w:val="center"/>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May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leases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Restated Certificate of Incorporation authorizes the Company to issue up to 500,000,000 shares of common stock, $0.001 par value per share, as of May 31, 2026, and November 30, 2025. Holders of common stock are entitled to dividends when and if declared by the Company’s board of directors, subject to the prior rights of the holders of shares of preferred stock. The holder of each share of common stock is entitled to one vote. As of May 31, 2026, no dividends have been declared.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the Company issued the 2022 Pre-Funded Warrants to purchase an aggregate of 6,814,920 shares of the Company’s common stock at a price of $13.939 per pre-funded warrant. As of May 31, 2026, a total of 6,097,560 of the 2022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Company issued the 2024 Pre-Funded Warrants to purchase an aggregate of 1,500,100 shares of the Company’s common stock at a price of $14.999 per pre-funded warrant. As of May 31, 2026, a total of 1,480,349 of the 2024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pre-funded warrants were immediately exercisable at issuance,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pre-funded warrants were classified as a component of permanent equity on the Company’s condensed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basic and diluted, attributable to common stockholders because the shares may be issued for little or no consideration, are fully vested and are exercisable after the original issuance date of the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stock reserved for future issuance, on an as-if converted basis consists of the following:</w:t>
      </w:r>
    </w:p>
    <w:tbl>
      <w:tblPr>
        <w:tblW w:w="7977" w:type="dxa"/>
        <w:jc w:val="left"/>
        <w:tblInd w:w="0" w:type="dxa"/>
        <w:tblLayout w:type="fixed"/>
        <w:tblCellMar>
          <w:top w:w="28" w:type="dxa"/>
          <w:left w:w="28" w:type="dxa"/>
          <w:bottom w:w="28" w:type="dxa"/>
          <w:right w:w="28" w:type="dxa"/>
        </w:tblCellMar>
      </w:tblPr>
      <w:tblGrid>
        <w:gridCol w:w="1972"/>
        <w:gridCol w:w="1734"/>
        <w:gridCol w:w="1738"/>
        <w:gridCol w:w="344"/>
        <w:gridCol w:w="344"/>
        <w:gridCol w:w="348"/>
        <w:gridCol w:w="109"/>
        <w:gridCol w:w="109"/>
        <w:gridCol w:w="109"/>
        <w:gridCol w:w="343"/>
        <w:gridCol w:w="343"/>
        <w:gridCol w:w="484"/>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13,084,139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11,372,272</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3,069,904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2,245,837</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equity grants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3,972,807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3,146,477</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2,307,250</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 issued and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7,577,909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7,577,909</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reserved for future issuance</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30,846,091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26,649,745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2020 Equity Incentive Plan (the 2020 Plan) serves as the successor to the Company’s 2012 Equity Incentive Plan (together with the 2020 Plan, the Stock Plans) and provides for the granting of stock options, stock appreciation rights, restricted stock units (RSUs), performance awards and stock bonus awards to employees, directors, consultants, independent contractors and advisors of the Company. As of May 31, 2026, the Company had 1,844,051 shares of common stock available for grant under the Stock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Inducement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Board adopted and approved the Company’s 2024 Equity Inducement Plan (the 2024 Inducement Plan), which became effective on October 23, 2024. In accordance with Rule 5635(c)(4) of the Nasdaq listing rules, equity awards under the 2024 Inducement Plan may only be made to an employee if he or she is granted such awards in connection with the commencement of his or her employment with the Company and such grant is a material inducement to his or her entering into employment with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reserved 3,000,000 shares of common stock for issuance pursuant to non-qualified stock options and RSUs under the 2024 Inducement Plan. As of May 31, 2026, the Company had 2,128,756 shares of common stock available for grant under the 2024 Inducement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Option activity under the Stock Plans and the 2024 Inducement Plan is set forth below: </w:t>
      </w:r>
    </w:p>
    <w:tbl>
      <w:tblPr>
        <w:tblW w:w="5268" w:type="dxa"/>
        <w:jc w:val="center"/>
        <w:tblInd w:w="0" w:type="dxa"/>
        <w:tblLayout w:type="fixed"/>
        <w:tblCellMar>
          <w:top w:w="28" w:type="dxa"/>
          <w:left w:w="28" w:type="dxa"/>
          <w:bottom w:w="28" w:type="dxa"/>
          <w:right w:w="28" w:type="dxa"/>
        </w:tblCellMar>
      </w:tblPr>
      <w:tblGrid>
        <w:gridCol w:w="1059"/>
        <w:gridCol w:w="931"/>
        <w:gridCol w:w="934"/>
        <w:gridCol w:w="344"/>
        <w:gridCol w:w="344"/>
        <w:gridCol w:w="348"/>
        <w:gridCol w:w="109"/>
        <w:gridCol w:w="109"/>
        <w:gridCol w:w="109"/>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2025</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May 31, 2026</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13,084,139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 activity under the Stock Plans and 2024 Inducement Plan is set forth below:</w:t>
      </w:r>
    </w:p>
    <w:tbl>
      <w:tblPr>
        <w:tblW w:w="7614" w:type="dxa"/>
        <w:jc w:val="center"/>
        <w:tblInd w:w="0" w:type="dxa"/>
        <w:tblLayout w:type="fixed"/>
        <w:tblCellMar>
          <w:top w:w="28" w:type="dxa"/>
          <w:left w:w="28" w:type="dxa"/>
          <w:bottom w:w="28" w:type="dxa"/>
          <w:right w:w="28" w:type="dxa"/>
        </w:tblCellMar>
      </w:tblPr>
      <w:tblGrid>
        <w:gridCol w:w="1059"/>
        <w:gridCol w:w="931"/>
        <w:gridCol w:w="934"/>
        <w:gridCol w:w="439"/>
        <w:gridCol w:w="439"/>
        <w:gridCol w:w="441"/>
        <w:gridCol w:w="109"/>
        <w:gridCol w:w="109"/>
        <w:gridCol w:w="109"/>
        <w:gridCol w:w="653"/>
        <w:gridCol w:w="1912"/>
        <w:gridCol w:w="47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2025</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May 31, 2026</w:t>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3,069,904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Company’s 2020 Employee Stock Purchase Plan (the ESPP), eligible employees are entitled to purchase shares of common stock with accumulated payroll deductions. During the six months ended May 31, 2026, the Company issued 183,992 shares of common stock pursuant to the ESPP at a weighted-average price of $8.67 per share.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related to the Stock Plans, the 2024 Inducement Plan and the ESPP that is included in the Company’s condensed statements of operations is as follows (in thousands): </w:t>
      </w:r>
    </w:p>
    <w:tbl>
      <w:tblPr>
        <w:tblW w:w="7934" w:type="dxa"/>
        <w:jc w:val="center"/>
        <w:tblInd w:w="0" w:type="dxa"/>
        <w:tblLayout w:type="fixed"/>
        <w:tblCellMar>
          <w:top w:w="28" w:type="dxa"/>
          <w:left w:w="28" w:type="dxa"/>
          <w:bottom w:w="28" w:type="dxa"/>
          <w:right w:w="28" w:type="dxa"/>
        </w:tblCellMar>
      </w:tblPr>
      <w:tblGrid>
        <w:gridCol w:w="995"/>
        <w:gridCol w:w="872"/>
        <w:gridCol w:w="87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May 31, 2026, the total compensation cost related to stock-based awards not yet recognized was $81.9 million, which is expected to be amortized on a straight-line basis over the weighted-average remaining vesting period of approximately 2.3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Defined Contribution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$0.4 million and $1.0 million during the three and six months ended May 31, 2026, respectively, and $0.5 million and $1.0 million during the three and six months ended May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an income tax benefit of $271,000 for the three and six months ended May 31, 2026, and an income tax provision of $760,000 for the three and six months ended May 31, 2025.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May 31, 2026 and 2025 due to the uncertainty of realizing future tax benefits from its net operating loss (NOL) carryforwards and other deferred tax assets.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In March 2026, the Company and the FTB reached a favorable agreement under which the Company will pay a portion of the proposed assessment. As a result, the Company recognized a $271,000 tax benefit. All of the Company’s tax years will remain open for examination by the federal and state authorities for three and four years, respectively, from the date of the utilization of any NOLs.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United States. The OBBBA includes several significant tax provisions, such as the permanent extension of certain expiring provisions of the Tax Cuts and Jobs Act, modifications to the international tax framework and the restoration of certain business provisions. The legislation has multiple effective dates, with certain provisions effective in 2025 and others implemented through 2027. The Company will no longer be required to capitalize its domestic research and experimental costs under Section 174 of the Internal Revenue Code beginning with the tax year ending November 30, 2026. The enactment of OBBBA did not have a material impact on the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the Company’s basic and diluted net loss per share attributable to common stockholders, which excludes shares which are legally outstanding but subject to repurchase by the Company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669"/>
        <w:gridCol w:w="1470"/>
        <w:gridCol w:w="1490"/>
        <w:gridCol w:w="227"/>
        <w:gridCol w:w="795"/>
        <w:gridCol w:w="119"/>
        <w:gridCol w:w="109"/>
        <w:gridCol w:w="109"/>
        <w:gridCol w:w="109"/>
        <w:gridCol w:w="211"/>
        <w:gridCol w:w="780"/>
        <w:gridCol w:w="109"/>
        <w:gridCol w:w="109"/>
        <w:gridCol w:w="109"/>
        <w:gridCol w:w="109"/>
        <w:gridCol w:w="211"/>
        <w:gridCol w:w="885"/>
        <w:gridCol w:w="109"/>
        <w:gridCol w:w="109"/>
        <w:gridCol w:w="109"/>
        <w:gridCol w:w="109"/>
        <w:gridCol w:w="211"/>
        <w:gridCol w:w="780"/>
        <w:gridCol w:w="158"/>
      </w:tblGrid>
      <w:tr>
        <w:trPr/>
        <w:tc>
          <w:tcPr>
            <w:tcW w:w="166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4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(89,535)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Weighted-average number of shares outstanding, basic and diluted</w:t>
            </w:r>
            <w:r>
              <w:rPr>
                <w:rFonts w:ascii="Times New Roman;serif" w:hAnsi="Times New Roman;serif"/>
                <w:b w:val="false"/>
                <w:color w:val="000000"/>
                <w:sz w:val="13"/>
              </w:rPr>
              <w:t>(1)</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111,084,423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83,882,477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110,583,610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83,723,403</w:t>
            </w:r>
          </w:p>
        </w:tc>
      </w:tr>
      <w:tr>
        <w:trPr/>
        <w:tc>
          <w:tcPr>
            <w:tcW w:w="4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shares underlying the pre-funded warrants to purchase shares of the Company’s common stock have been included in the calculation of the weighted-average number of shares outstanding, basic and diluted, for the three and six months ended May 31, 2026 and 2025.</w:t>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were excluded from the computation of the diluted net loss per share of common stock for the periods presented because their effect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tbl>
      <w:tblPr>
        <w:tblW w:w="8188" w:type="dxa"/>
        <w:jc w:val="center"/>
        <w:tblInd w:w="0" w:type="dxa"/>
        <w:tblLayout w:type="fixed"/>
        <w:tblCellMar>
          <w:top w:w="28" w:type="dxa"/>
          <w:left w:w="28" w:type="dxa"/>
          <w:bottom w:w="28" w:type="dxa"/>
          <w:right w:w="28" w:type="dxa"/>
        </w:tblCellMar>
      </w:tblPr>
      <w:tblGrid>
        <w:gridCol w:w="2081"/>
        <w:gridCol w:w="1829"/>
        <w:gridCol w:w="1834"/>
        <w:gridCol w:w="344"/>
        <w:gridCol w:w="344"/>
        <w:gridCol w:w="348"/>
        <w:gridCol w:w="109"/>
        <w:gridCol w:w="109"/>
        <w:gridCol w:w="109"/>
        <w:gridCol w:w="315"/>
        <w:gridCol w:w="315"/>
        <w:gridCol w:w="451"/>
      </w:tblGrid>
      <w:tr>
        <w:trPr/>
        <w:tc>
          <w:tcPr>
            <w:tcW w:w="208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13,084,139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11,689,898</w:t>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3,069,904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2,976,746</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expected to be purchased under employee stock purchase plan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81,597</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16,249,439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14,748,241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Financial Officer is a trustee for the multiple employer welfare association that facilitates the acquisition and administration of the Company’s healthcare plans. Expenses related to the healthcare plan premiums were $1.5 million and $3.1 million for the three and six months ended May 31, 2026, respectively, and $1.5 million and $2.8 million for the three and six months ended May 31, 2025, respectively. As of May 31, 2026, and November 30, 2025, the amount recorded in accounts payable and accrued expenses and other current liabilities in connection with this healthcare plan provider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as a single reportable and operating segment. The Company is in the business of discovery, development and commercialization of innovative targeted protein degradation medicines aimed at improving treatment options for patients with cancer and inflammatory diseases.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who reviews and evaluates net loss to monitor budget versus actual results and to analyze cash flows for purposes of allocating resources and assessing financial performance. The measure of segment assets is reported on the balance sheet as total assets. All of the Company's long-lived assets are located in the United States and all of the Company's revenue was derived from customers located in the United States.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allocate internal costs by product candidate. With respect to internal costs, several departments support multiple product candidate research and development programs, and therefore the costs cannot be allocated to a particular product candidate or development program.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significant expense categories included within net loss presented in the Company's statements of operations, disaggregated research and development expenses are as follows (in thousands):</w:t>
      </w:r>
    </w:p>
    <w:tbl>
      <w:tblPr>
        <w:tblW w:w="9090" w:type="dxa"/>
        <w:jc w:val="left"/>
        <w:tblInd w:w="0" w:type="dxa"/>
        <w:tblLayout w:type="fixed"/>
        <w:tblCellMar>
          <w:top w:w="28" w:type="dxa"/>
          <w:left w:w="28" w:type="dxa"/>
          <w:bottom w:w="28" w:type="dxa"/>
          <w:right w:w="28" w:type="dxa"/>
        </w:tblCellMar>
      </w:tblPr>
      <w:tblGrid>
        <w:gridCol w:w="1338"/>
        <w:gridCol w:w="1173"/>
        <w:gridCol w:w="117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clinical development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Bexobrutideg (NX-5948)</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Zelebrudomide (NX-2127)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NX-1607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Subsequent Event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6, 2026, the Company entered into a global collaboration agreement with F. Hoffmann-La Roche Ltd. and Genentech, Inc. (together, Roche), to develop, manufacture, commercialize and otherwise exploit bexobrutideg (NX-5948) (the Roche Collaboration Agreement). Under the terms of the Roche Collaboration Agreement, the Company will receive an upfront cash payment of $700 million and is eligible to receive development, regulatory and sales milestone payments for potential total payments of up to $2.3 billion, including the upfront payment. Global development costs will be shared 40% by the Company and 60% by Roche, subject to specified exceptions. The parties will equally split the profits and losses from U.S. commercialization. The Company and Roche will co-commercialize bexobrutideg in the United States across all indications. Outside of the United States, Roche will be responsible for commercialization, and the Company is eligible to receive tiered royalties at rates ranging from the low teens to the high teens on ex-U.S. sales. The Roche Collaboration Agreement will become effective upon the expiration or termination of the applicable waiting period under the Hart-Scott-Rodino Antitrust Improvements Act of 1976, as amended, and the expiration, termination or resolution of all other required waiting periods, clearance decisions or outstanding inquiries under antitrust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The following discussion and analysis of our financial condition and results of operations should be read in conjunction with (1) the unaudited condensed financial statements and the related notes included in Part I, Item 1 of this Quarterly Report on Form 10</w:t>
        <w:noBreakHyphen/>
        <w:t>Q and (2) the audited financial statements and related notes and management’s discussion and analysis of financial condition and results of operations for the fiscal year ended November 30, 2025, included in our Annual Report on Form 10</w:t>
        <w:noBreakHyphen/>
        <w:t>K filed with the Securities and Exchange Commission (SEC) on January 28, 2026. As discussed in the section titled “Special Note Regarding Forward-Looking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noBreakHyphen/>
        <w:t>Q.</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 stage biopharmaceutical company focused on the discovery, development and commercialization of targeted protein degradation medicines, the next frontier in innovative drug design aimed at improving treatment options for patients with cancer and inflammatory diseases. Powered by a fully AI-integrated discovery engine capable of tackling any protein class, and coupled with leading ligase expertise, we hold a differentiated position in translating the science of protein degradation into clinical advancements with the aim of establishing degrader-based treatments at the forefront of patient care. We leverage our proprietary DEL-AI platform, employing advanced automated chemistry synthesis and direct-to-biology technologies, to rapidly generate degraders and degrader antibody conjugates (DACs) as first-in-class or best-in-class drug candidates.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(now a part of Pfizer Inc. (Pfizer)), within which we retain certain options for co-development, co-commercialization and profit sharing in the United States for multiple drug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Targeted Protein Degradation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portfolio of targeted protein degraders of the B</w:t>
        <w:noBreakHyphen/>
        <w:t>cell signaling protein BTK comprises bexobrutideg (NX</w:t>
        <w:noBreakHyphen/>
        <w:t>5948), an investigational, orally bioavailable, highly selective BTK degrader for the treatment of relapsed or refractory B-cell malignancies and potentially autoimmune diseases, and zelebrudomide (NX</w:t>
        <w:noBreakHyphen/>
        <w:t>2127), an investigational orally bioavailable degrader that simultaneously degrades BTK and two well-characterized cereblon neosubstrates IKZF1 (Ikaros) and IKZF3 (Aiolos) that are clinically validated transcription factor targets for relapsed or refractory B</w:t>
        <w:noBreakHyphen/>
        <w:t>cell malignancies.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Bexobrutideg (NX-5948): We are currently conducting a Phase 2 study of bexobrutideg in patients with relapsed or refractory CLL having failed three previous lines of therapy, specifically a covalent BTK inhibitor (cBTKi), a BCL2 inhibitor (BCL2i) and a non-covalent BTK inhibitor (ncBTKi). This study is designed as a potentially pivotal trial for Accelerated Approval in the United States and commenced in October 2025 upon FDA agreement for the use of the 600mg, once daily dose of bexobrutideg as determined by our Phase 1b study of both a 200mg and a 600mg dose in patients in accordance with the FDA’s Project Optimus. In January 2024, the U.S. Food and Drug Administration (FDA) granted Fast Track designation for bexobrutideg for the treatment of adult patients with relapsed or refractory chronic lymphocytic leukemia (CLL) or small lymphocytic lymphoma (SLL) after at least two lines of therapy, including a BTK inhibitor and a B-cell lymphoma 2 (BCL2) inhibitor. In November 2024, the European Medicines Agency (EMA) granted Priority Medicine (PRIME) designation for bexobrutideg in CLL or SLL after at least a BTK inhibitor and a BCL-2 inhibitor. In December 2024, the FDA granted Fast Track designation for bexobrutideg for the treatment of adult patients with Waldenstrom’s macroglobulinemia (WM) after at least two lines of therapy, including a BTK inhibitor. In June 2026, we entered into a global collaboration agreement with F. Hoffmann-La Roche Ltd. and Genentech, Inc. (together, Roche), to develop, manufacture, commercialize and otherwise exploit bexobrutideg (NX-5948) (the Roche Collaboration Agreement), which we expect to become effective in the third fiscal quarter of 2026. For more information regarding the Roche Collaboration Agreement, see “Collaboration and License Agreements – Roche”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Zelebrudomide (NX</w:t>
        <w:noBreakHyphen/>
        <w:t>2127): We are currently conducting a Phase 1a/1b dose-escalation and cohort expansion study of zelebrudomide in patients with relapsed or refractory B-cell malignancies. We previously initiated Phase 1b expansion cohorts for patients with relapsed CLL, diffuse large B-cell lymphoma (DLBCL) and mantle cell lymphoma (MCL). Enrollment was paused in 2023 due to a partial clinical hold stemming from a manufacturing change designed to produce a chirally controlled form of zelebrudomide. Enrollment of new patients in this clinical trial recommenced in August 2024 following resolution of the partial hold by the FDA. Dose escalation with the new drug form is ongoing with a focus on patients with aggressive forms of B-cell lymphoma, such as DLBCL and MCL. Enrollment in the current dose escalation cohorts of the Phase 1 trial has been completed and we are reviewing the data to determine next steps.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Degradation Inhibitor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degradation inhibitor program includes NX-1607, an orally bioavailable inhibitor of CBL-B, an E3 ligase that regulates the activation of multiple immune cell types including T cells and NK cells. NX-1607 is targeted for immuno-oncology indications.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conducting a Phase 1a/1b dose-escalation and cohort expansion study of NX-1607 in patients with a range of oncology indications. This study also included a cohort within the Phase 1a dose escalation study testing NX-1607 in combination with paclitaxel, a taxane chemotherapy commonly used across a range of relapsed and refractory solid tumor indications. In 2022, NX-1607 was awarded an Innovation Passport from the UK Medicines and Healthcare products Regulatory Agency to accelerate time to market and facilitate patient access to novel drugs to treat serious and life-threatening diseases.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Drug Discovery Pipeline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clinical stage drug candidates, we are advancing multiple preclinical-stage programs within our degradation portfolio, both on our own and with partners, by developing new targeted protein degraders and degrader antibody conjugates for several therapeutic indications that currently lack treatment options or where current therapies are ineffective. These existing and future programs have the potential to provide patients with better options in the therapeutic indications with significant unmet needs, including cancer, inflammation, autoimmunity and other challenging therapeutic areas.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several revenue generating collaborations with large biopharmaceutical companies, including Gilead, Sanofi and Pfizer, to leverage our DEL-AI platform for drug discovery. In aggregate, as of May 31, 2026, we had received $489.0 million in non-dilutive financing from these collaborators to date and we were eligible to receive up to $6.1 billion in potential future fees and milestone payments, as well as royalties on future product sales. In June 2026, we also entered into the Roche Collaboration Agreement, which we expect to become effective in the third fiscal quarter of 2026. Under the terms of the Roche Collaboration Agreement, we will receive an upfront cash payment of $700 million and will be eligible to receive development, regulatory and sales milestone payments for potential total payments of up to $2.3 billion, including the upfront payment. We retain certain options for co-development, co-commercialization and profit sharing in the United States for multiple drug candidates, pursuant to these collaborations.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Collaborations and License Agreements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Gilead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DEL-AI platform to identify novel agents that utilize E3 ligases to induce degradation of five specified drug targets. In August 2019 and September 2022, we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which we received in the second quarter of fiscal year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its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us an upfront payment of $45.0 million, plus $3.0 million in additional fees. In addition, from the signing of the Gilead Agreement to May 31, 2026, we have received payments of $47.0 million for research milestones and additional payments, $20.0 million for a license option exercise payment, $15.0 million in research term extension fees and $5.0 million for a clinical milestone payment. As of May 31, 2026, we are eligible to receive up to approximately $1.8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Gilead Agreement of $2.1 million and $3.6 million during the three and six months ended May 31, 2026, respectively, and $1.6 million and $3.3 million during the three and six months ended May 31, 2025, respectively. As of May 31, 2026 and November 30, 2025, there was $0.2 million and $3.8 million, respectively, of deferred revenue related to payments received by us under the Gilead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Sanofi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DEL-AI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entered into the Fourth Amendment and Fifth Amendment, respectively, to the Sanofi Agreement to modify the research plan for certain targets, which had no impact on revenue recognition. In March 2024, we entered into the Sixth Amendment to the Sanofi Agreement to extend the research term for the collaboration target STAT6 (signal transducer and activator of transcription 6), a key drug target in type 2 inflammation, by two years, which is expected to increase overall forecasted costs and have an impact on revenue recognition. In April 2026, we entered into the Seventh Amendment to the Sanofi Agreement to enable Sanofi to continue research activities for the collaboration target STAT6 and for an additional collaboration target after the expiration of the original research term.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we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we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the parties will split U.S. profits and losses evenly, and we will be eligible to receive royalties on ex-U.S. net sales and reduced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May 31, 2026, we have received payments of $22.0 million for research milestones and $30.0 million for license extension fees. As of May 31, 2026, we are eligible to receive up to approximately $937.0 million in total additional payments based on certain additional fees, payments and the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Sanofi Agreement of $2.0 million during the three and six months ended May 31, 2026, and $3.4 million and $16.1 million of collaboration revenue during the three and six months ended May 31, 2025, respectively. As of May 31, 2026 and November 30, 2025, there was no deferred revenue related to payments received by us under the Sanofi Agreement and all performance obligations were satisfied.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Pfizer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DACs, a new class of medicines for use in cancer treatment, and advancing these DAC drug candidates through preclinical and clinical development and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Pfizer Agreement, we received an upfront payment of $60.0 million. In addition, from the signing of the Pfizer Agreement to May 31, 2026, we have received payments of $15.0 million for research milestones.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Pfizer Agreement of $5.0 and $9.7 million during the three and six months ended May 31, 2026, respectively, and $4.0 million and $8.0 million during the three and six months ended May 31, 2025, respectively. As of May 31, 2026 and November 30, 2025, there was $19.1 million and $23.8 million, respectively, of deferred revenue related to payments received by us under the Pfizer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Roche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6, 2026, we entered into the Roche Collaboration Agreement to develop, manufacture, commercialize and otherwise exploit bexobrutideg (NX-5948). Under the terms of the Roche Collaboration Agreement, we will receive an upfront cash payment of $700.0 million and are eligible to receive development, regulatory and sales milestone payments for potential total payments of up to $2.3 billion, including the upfront payment. Development costs will be shared 40% by us and 60% by Roche, subject to specified exceptions. The parties will equally split the profits and losses from U.S. commercialization. We and Roche will co-develop and co-commercialize bexobrutideg in the United States across all indications. Outside of the United States, Roche will be responsible for development and commercialization, and we are eligible to receive tiered royalties at rates ranging from the low teens to the high teens on ex-U.S. sales. The Roche Collaboration Agreement will become effective upon the expiration or termination of the applicable waiting period under the Hart-Scott-Rodino Antitrust Improvements Act of 1976, as amended, and the expiration, termination or resolution of all other required waiting periods, clearance decisions or outstanding inquiries under antitrust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inception, we have generally incurred significant losses and negative cash flows from operations. During the six months ended May 31, 2026 and 2025, we incurred net losses of $176.7 million and $99.8 million, respectively. As of May 31, 2026, we had an accumulated deficit of $1.2 billion. These losses have resulted primarily from costs incurred in connection with research and development activities and general and administrative costs associated with our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DEL-AI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losses and cash flows may fluctuate significantly from period to period, depending on, among other things, variations in the level of expense related to the ongoing development of our drug candidates, our DEL-AI platform or future development programs; the delay, addition or termination of clinical trials; and the execution of any additional collaboration, licensing or similar arrangements, and the timing of payments we may make or receive under such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May 31, 2026, we had $443.5 million in cash, cash equivalents and marketable securities, and we expect to receive a $700.0 million upfront payment from Roche in the third fiscal quarter of 2026.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Impact of Current Business, Political and Macroeconomic Conditions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Uncertainty in the business, political and macroeconomic environments present significant risks to our business. We are subject to continuing risks and uncertainties, including increasing financial market volatility and uncertainty, inflation, interest rate fluctuations, changing tariff policies and trade restrictions,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closely monitor the impact of these factors on all aspects of our business, including the impacts on our clinical trial patients, employees, partners, suppliers, and vendors.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The ultimate impact of global and domestic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w:t>
      </w:r>
      <w:r>
        <w:rPr>
          <w:rFonts w:ascii="Times New Roman;serif" w:hAnsi="Times New Roman;serif"/>
          <w:b w:val="false"/>
          <w:color w:val="000000"/>
          <w:sz w:val="20"/>
          <w:shd w:fill="FFFFFF" w:val="clear"/>
        </w:rPr>
        <w:t>section titled “Risk Factors”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 products approved for commercial sale and to date have not generated any revenue from the sale of products and do not expect to generate any revenue from the sale of products in the near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any collaboration revenue we generate from our current collaboration and license agreements, and from any future collaboration partners, will fluctuate in the future as a result of the timing and amount of upfront, milestone and other collaboration agreement payments and other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costs include: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payroll and personnel expenses, including benefits, stock-based compensation and travel expenses, for our research and development functions;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costs associated with our research and development platform used across programs, process development, manufacturing and preclinical research and development for earlier stage programs and new technologies;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depreciation of research and development equipment, allocated overhead and facilities-related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External expenses for clinical development programs and other research and development expenses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fees paid to third parties such as consultants, contractors and contract research organizations to conduct our clinical trials, discovery programs and preclinical studies;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costs to acquire, develop and manufacture supplies for clinical trials and preclinical studies, including fees paid to third parties such as contract manufacturing organizations;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expenses related to laboratory supplies and services.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primarily consists of reserves for unrecognized tax benefits and state taxes. We have generated net operating losses since inception and have established a full valuation allowance against our deferred tax assets due to the uncertainty surrounding the realization of such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of our financial condition and results of operations is based on our condensed financial statements, which have been prepared in accordance with U.S. generally accepted accounting principles (U.S. GAAP). The preparation of these condensed financial statements requires us to make estimates and assumptions that affect the reported amounts of assets and liabilities and the disclosure of contingent assets and liabilities at the date of the condensed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and more significant areas involving management’s judgments and estimates used in preparation of our condensed financial statements are discussed in the section titled “Management’s Discussion and Analysis of Financial Condition and Results of Operations” in our Annual Report on Form 10-K for the fiscal year ended November 30, 2025. There have been no significant changes to these policies for the three and six months ended May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Policies—Recent Accounting Pronouncements Not Yet Adopted” in our condensed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and six months ended May 31, 2026 and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summarized as follows (in thousands):</w:t>
      </w:r>
    </w:p>
    <w:tbl>
      <w:tblPr>
        <w:tblW w:w="10205" w:type="dxa"/>
        <w:jc w:val="center"/>
        <w:tblInd w:w="0" w:type="dxa"/>
        <w:tblLayout w:type="fixed"/>
        <w:tblCellMar>
          <w:top w:w="28" w:type="dxa"/>
          <w:left w:w="28" w:type="dxa"/>
          <w:bottom w:w="28" w:type="dxa"/>
          <w:right w:w="28" w:type="dxa"/>
        </w:tblCellMar>
      </w:tblPr>
      <w:tblGrid>
        <w:gridCol w:w="723"/>
        <w:gridCol w:w="620"/>
        <w:gridCol w:w="626"/>
        <w:gridCol w:w="211"/>
        <w:gridCol w:w="755"/>
        <w:gridCol w:w="109"/>
        <w:gridCol w:w="109"/>
        <w:gridCol w:w="109"/>
        <w:gridCol w:w="109"/>
        <w:gridCol w:w="211"/>
        <w:gridCol w:w="755"/>
        <w:gridCol w:w="109"/>
        <w:gridCol w:w="109"/>
        <w:gridCol w:w="109"/>
        <w:gridCol w:w="109"/>
        <w:gridCol w:w="211"/>
        <w:gridCol w:w="755"/>
        <w:gridCol w:w="109"/>
        <w:gridCol w:w="109"/>
        <w:gridCol w:w="109"/>
        <w:gridCol w:w="109"/>
        <w:gridCol w:w="211"/>
        <w:gridCol w:w="860"/>
        <w:gridCol w:w="109"/>
        <w:gridCol w:w="109"/>
        <w:gridCol w:w="109"/>
        <w:gridCol w:w="109"/>
        <w:gridCol w:w="211"/>
        <w:gridCol w:w="755"/>
        <w:gridCol w:w="109"/>
        <w:gridCol w:w="109"/>
        <w:gridCol w:w="109"/>
        <w:gridCol w:w="109"/>
        <w:gridCol w:w="211"/>
        <w:gridCol w:w="755"/>
        <w:gridCol w:w="155"/>
      </w:tblGrid>
      <w:tr>
        <w:trPr/>
        <w:tc>
          <w:tcPr>
            <w:tcW w:w="7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(47,214)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(75,513)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(77,925)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(76,894)</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revenue is summarized as follows (in thousands):</w:t>
      </w:r>
    </w:p>
    <w:tbl>
      <w:tblPr>
        <w:tblW w:w="10205" w:type="dxa"/>
        <w:jc w:val="center"/>
        <w:tblInd w:w="0" w:type="dxa"/>
        <w:tblLayout w:type="fixed"/>
        <w:tblCellMar>
          <w:top w:w="28" w:type="dxa"/>
          <w:left w:w="28" w:type="dxa"/>
          <w:bottom w:w="28" w:type="dxa"/>
          <w:right w:w="28" w:type="dxa"/>
        </w:tblCellMar>
      </w:tblPr>
      <w:tblGrid>
        <w:gridCol w:w="845"/>
        <w:gridCol w:w="743"/>
        <w:gridCol w:w="753"/>
        <w:gridCol w:w="211"/>
        <w:gridCol w:w="616"/>
        <w:gridCol w:w="109"/>
        <w:gridCol w:w="109"/>
        <w:gridCol w:w="109"/>
        <w:gridCol w:w="109"/>
        <w:gridCol w:w="211"/>
        <w:gridCol w:w="721"/>
        <w:gridCol w:w="109"/>
        <w:gridCol w:w="109"/>
        <w:gridCol w:w="109"/>
        <w:gridCol w:w="109"/>
        <w:gridCol w:w="211"/>
        <w:gridCol w:w="688"/>
        <w:gridCol w:w="109"/>
        <w:gridCol w:w="109"/>
        <w:gridCol w:w="109"/>
        <w:gridCol w:w="109"/>
        <w:gridCol w:w="211"/>
        <w:gridCol w:w="721"/>
        <w:gridCol w:w="109"/>
        <w:gridCol w:w="109"/>
        <w:gridCol w:w="109"/>
        <w:gridCol w:w="109"/>
        <w:gridCol w:w="211"/>
        <w:gridCol w:w="721"/>
        <w:gridCol w:w="109"/>
        <w:gridCol w:w="109"/>
        <w:gridCol w:w="109"/>
        <w:gridCol w:w="109"/>
        <w:gridCol w:w="211"/>
        <w:gridCol w:w="793"/>
        <w:gridCol w:w="158"/>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Gilead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Sanofi</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Pfizer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collaboration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(17,214)</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collaboration revenue decreased by $5.0 million and $17.2 million during the three and six months ended May 31, 2026, compared to the three and six months ended May 31, 2025, respectively. For all periods presented, the decrease in revenue from our collaborations with Gilead and Sanofi was primarily attributable to the conclusion of the initial research term for certain drug targets.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License Revenue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license revenue was $30.0 million for the three and six months ended May 31, 2025 and is related to the Sanofi License Extensions. There was no license revenue for the three and six months ended May 31,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increased by $9.6 million during the three months ended May 31, 2026, compared to the three months ended May 31, 2025. There was an increase in clinical, contract manufacturing and consulting costs as we continued to accelerate the enrollment of patients in the ongoing clinical trials of bexobrutideg (NX-5948) and prepare for the initiation of additional trials, and an increase in contract research costs to support our ongoing collaborations.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increased by $24.0 million during the six months ended May 31, 2026, compared to the six months ended May 31, 2025. There was an increase in clinical, contract manufacturing and consulting costs as we continued to accelerate the enrollment of patients in the ongoing clinical trials of bexobrutideg (NX-5948) and prepare for the initiation of additional trials, and an increase in contract research costs to support our ongoing collaborations. There was also an increase in personnel related costs attributable to higher average employee compensation and an increase in non-cash stock-based compensation expense primarily driven by the increased issuance of restricted stock units and incentive stock options.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and administrative expenses increased by $1.3 million during the three months ended May 31, 2026, compared to the three months ended May 31, 2025. There was an increase in legal costs for collaboration and business development activities.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and administrative expenses increased by $4.3 million during the six months ended May 31, 2026, compared to the six months ended May 31, 2025. There was an increase in personnel related costs attributable to higher average employee compensation, an increase in non-cash stock-based compensation expense primarily driven by the increased issuance of restricted stock units and incentive stock options and an increase in legal costs for collaboration and business development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2021, we filed a shelf registration statement on Form S-3 with the SEC, which was amended in February 2023 (the Shelf Registration Statement) and which expired in August 2024 with respect to additional sales of securities. The Shelf Registration Statement, which included a base prospectus, allowed us to offer and sell up to $450.0 million of our registered common stock, preferred stock, debt securities, warrants, subscriptions rights and/or units or any combination of securities described in the prospectus in one or more offerings. In addition, in August 2021, we entered into an Equity Distribution Agreement with Piper Sandler &amp; Co. (Piper Sandler) pursuant to which, from time to time, we could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up to 3.0% of the gross sales price of any shares sold pursuant to the Equity Distribution Agreement. In June 2022, we issued and sold 2,000,000 shares of common stock under the Equity Distribution Agreement at a price of $10.00 per share for gross proceeds of $20.0 million, before deducting offering commissions and expenses paid by us. In May 2024, we issued and sold 3,194,809 shares of common stock under the Equity Distribution Agreement at various prices ranging from $15.50 to $16.00 per share for total gross proceeds of $50.2 million, before deducting offering commissions and expenses paid by us (the May 2024 ATM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filed an automatic shelf registration statement on Form S-3 (the Automatic Shelf Registration Statement). The Automatic Shelf Registration Statement, which includes a base prospectus, allows us at any time to offer and sell our registered common stock, preferred stock, debt securities, warrants, subscription rights and/or units or any combination of securities described in the prospectus in one or more offerings. On July 11, 2024, we entered into Amendment No. 1 to the Equity Distribution Agreement (as amended, the Amended Equity Distribution Agreement), pursuant to which, from time to time, we could offer and sell through Piper Sandler up to $150.0 million of common stock registered under the Automatic Shelf Registration Statement pursuant to one or more “at the market” offerings. We were not required to sell any shares at any time during the term of the Amended Equity Distribution Agreement. We agreed to pay Piper Sandler a commission of up to 3.0% of the gross sales price of any shares sold pursuant to the Amended Equity Distribution Agreement. In August 2024, we issued and sold 2,145,000 shares of common stock under the Amended Equity Distribution Agreement at $20.00 per share for total gross proceeds of $42.9 million before deducting offering commissions and expenses paid by us (the August 2024 ATM Financing). In October 2024, we issued and sold 4,803,573 shares of common stock under the Amended Equity Distribution Agreement at various prices ranging from $21.50 to $25.00 per share for total gross proceeds of $107.1 million, before deducting offering commissions and expenses paid by us (the October 2024 ATM Financing).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31, 2024, we entered into Amendment No. 2 to the Equity Distribution Agreement (as amended, the Second Amended Equity Distribution Agreement), pursuant to which, from time to time, we could offer and sell through Piper Sandler up to $300.0 million of common stock registered under the Automatic Shelf Registration Statement pursuant to one or more “at the market” offerings. We were not required to sell any shares at any time during the term of the Second Amended Equity Distribution Agreement. We agreed to pay Piper Sandler a commission of up to 3.0% of the gross sales price of any shares sold pursuant to the Second Amended Equity Distribution Agreement. In November 2024, we issued and sold 3,634,393 shares of common stock under the Second Amended Equity Distribution Agreement at $26.25 per share for total gross proceeds of $95.4 million before deducting offering commissions and expenses paid by us (the November 2024 ATM Financing). In January 2026, we issued and sold 1,000,000 shares of common stock under the Second Amended Equity Distribution Agreement at a price of $18.25 per share for total gross proceeds of $18.3 million, before deducting offering commissions and expenses paid by us (the January 2026 ATM Financing).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6, 2026, we entered into Amendment No. 3 to the Equity Distribution Agreement (as amended, the Third Amended Equity Distribution Agreement), pursuant to which, from time to time, we may offer and sell through Piper Sandler up to $413.65 million of common stock, which includes $113.65 million in gross proceeds sold under the Second Amended Equity Distribution Agreement, registered under the Automatic Shelf Registration Statement pursuant to one or more “at the market” offerings. We are not required to sell any shares at any time during the term of the Third Amended Equity Distribution Agreement. We agreed to pay Piper Sandler a commission of up to 3.0% of the gross sales price of any shares sold pursuant to the Third Amended Equity Distribution Agreement. As of May 31, 2026, we had $300.0 million of common stock remaining available for sale under the Third Amended Equity Distribution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we entered into separate securities purchase agreements with certain purchasers to issue and sell pre</w:t>
        <w:noBreakHyphen/>
        <w:t>funded warrants to purchase an aggregate of 6,814,920 shares of our common stock in registered direct offerings (RDOs) at a price of $13.939 per pre-funded warrant (the 2022 Pre-Funded Warrants). Net proceeds from the RDOs were $94.8 million, after deducting offering expenses of $0.2 million. As of May 31, 2026, a total of 6,097,560 of the 2022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we completed an underwritten public offering (the 2024 Public Offering) and issued (a) 11,916,667 shares of common stock, which included 1,750,000 shares issued upon the exercise in full by our underwriters of their option to purchase additional shares of common stock, at a public offering price of $15.00 per share, and (b) pre-funded warrants to purchase 1,500,100 shares of our common stock (the 2024 Pre-Funded Warrants) at a public offering price of $14.999 per pre-funded warrant, which represents the per share public offering price for the common stock less a $0.001 per share exercise price for each pre-funded warrant. The net proceeds from this offering were approximately $188.7 million, after deducting underwriting discounts and commissions and offering expenses. As of May 31, 2026, a total of 1,480,349 of the 2024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issued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we completed an underwritten registered direct offering (the 2025 RDO) and issued 24,485,799 shares of common stock at a price of $10.21 per share. The net proceeds from the 2025 RDO were $234.4 million, after deducting underwriting discounts and commissions and offering expenses of $15.6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Funding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May 31, 2026, our operations have primarily been funded through the net proceeds from equity offerings of $1.4 billion and proceeds from collaborations of $489.0 million. We do not have any products approved for sale, and we have not generated any revenue from product sales. As of May 31, 2026, we had $443.5 million in cash, cash equivalents and marketable securities, and we expect to receive an additional $700.0 million upfront payment from Roche in the third fiscal quarter of 2026.</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existing cash, cash equivalents and marketable securities are sufficient to meet our cash requirements and continue operating activities, including the clinical trials of our drug candidates bexobrutideg (NX-5948), zelebrudomide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long term, our ability to support our working capital and capital expenditure requirements will depend on many factors, including the following: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progress, costs and results of our Phase 1 and Phase 2 clinical trials for our lead drug candidate bexobrutideg, our Phase 1 clinical trials for zelebrudomide and NX-1607,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scope, progress, costs and results of preclinical and clinical development for our other drug candidates and development programs;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number and development requirements of other drug candidates that we pursue;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scope of, and costs associated with, future advancements to our DEL-AI platform;</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success of our collaborations with Gilead, Sanofi, Pfizer, Roche and any other collaborations we may establish;</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timing and outcome of regulatory review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and timing of future commercialization activities, including product manufacturing, marketing, sales and distribution, for any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revenue, if any, received from commercial sales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additional collaboration arrangements with other biotechnology or pharmaceutical companies on favorable terms, if at all, for the development or commercialization of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considered whether there are conditions or events that raise substantial doubt about our ability to continue as a going concern and evaluated the funds necessary to maintain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pStyle w:val="TextBody"/>
        <w:bidi w:val="0"/>
        <w:spacing w:lineRule="auto" w:line="276" w:before="120" w:after="283"/>
        <w:ind w:left="0" w:right="0" w:firstLine="720"/>
        <w:jc w:val="left"/>
        <w:rPr/>
      </w:pPr>
      <w:r>
        <w:rPr>
          <w:rFonts w:ascii="Times New Roman;serif" w:hAnsi="Times New Roman;serif"/>
          <w:b w:val="false"/>
          <w:color w:val="000000"/>
          <w:sz w:val="20"/>
          <w:shd w:fill="FFFFFF" w:val="clear"/>
        </w:rPr>
        <w:t xml:space="preserve">Our contractual obligations mostly consist of our operating lease obligations for facilities in Brisbane, California and The Woodlands, Texas. </w:t>
      </w:r>
      <w:r>
        <w:rPr>
          <w:rFonts w:ascii="Times New Roman;serif" w:hAnsi="Times New Roman;serif"/>
          <w:b w:val="false"/>
          <w:color w:val="000000"/>
          <w:sz w:val="20"/>
        </w:rPr>
        <w:t>Our total operating lease commitments as of May 31, 2026, were approximately $83.6 million, of which $9.0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are summarized as follows (in thousands): </w:t>
      </w:r>
    </w:p>
    <w:tbl>
      <w:tblPr>
        <w:tblW w:w="7554" w:type="dxa"/>
        <w:jc w:val="center"/>
        <w:tblInd w:w="0" w:type="dxa"/>
        <w:tblLayout w:type="fixed"/>
        <w:tblCellMar>
          <w:top w:w="28" w:type="dxa"/>
          <w:left w:w="28" w:type="dxa"/>
          <w:bottom w:w="28" w:type="dxa"/>
          <w:right w:w="28" w:type="dxa"/>
        </w:tblCellMar>
      </w:tblPr>
      <w:tblGrid>
        <w:gridCol w:w="1715"/>
        <w:gridCol w:w="1510"/>
        <w:gridCol w:w="1515"/>
        <w:gridCol w:w="211"/>
        <w:gridCol w:w="901"/>
        <w:gridCol w:w="109"/>
        <w:gridCol w:w="109"/>
        <w:gridCol w:w="109"/>
        <w:gridCol w:w="109"/>
        <w:gridCol w:w="211"/>
        <w:gridCol w:w="901"/>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$168.5 million for the six months ended May 31, 2026, and consisted of a net loss of $176.7 million, offset by a increase in net assets of $16.8 million and non-cash adjustments of $25.0 million. The increase in net assets consisted of a decrease in deferred revenue of $8.3 million as we increased effort in our programs and recognized revenue and a decrease in accrued expenses and other accrued liabilities of $11.1 million primarily due to the payment of compensation and other related personnel costs and costs related to our clinical trials, offset by a decrease in prepaid and other assets of $1.6 million primarily due to the recognition of expenses for prepaid services and an increase in accounts payable of $1.4 million from payments to vendors. Non-cash adjustments primarily consisted of stock-based compensation expenses of $20.8 million, depreciation and amortization expenses of $4.5 million and amortization of operating lease right-of-use (ROU) assets of $3.2 million, offset by net accretion of discount on marketable securities of $3.5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$124.2 million for the six months ended May 31, 2025, and consisted of a net loss of $99.8 million and an increase in net assets of $46.5 million, offset by non-cash adjustments of $22.1 million. The increase in net assets consisted of a decrease in deferred revenue of $15.5 million as we increased effort in our programs and recognized revenue, a decrease in operating lease liabilities of $3.1 million due to lease payments made during the period, a decrease in accounts payable of $5.9 million from payments to vendors, an increase in accounts receivable of $19.0 million related to the Second Sanofi License Extension and a milestone payment under the Sanofi Agreement, and an increase in other assets of $3.0 million primarily for the Brisbane lease security deposit. Non-cash adjustments primarily consisted of stock-based compensation expenses of $19.1 million, depreciation and amortization expenses of $4.6 million and amortization of operating lease ROU assets of $4.6 million, offset by net accretion of discount on marketable securities of $6.3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$30.8 million for the six months ended May 31, 2026, and primarily consisted of the purchase of marketable securities of $280.6 million and the purchase of property and equipment of $3.0 million, partially offset by the maturity of marketable securities of $252.7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$97.0 million for the six months ended May 31, 2025, and primarily consisted of the maturity of marketable securities of $281.5 million, offset by the purchase of marketable securities of $178.4 million and the purchase of property and equipment of $6.2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$20.0 million for the six months ended May 31, 2026, and consisted primarily of proceeds from the January 2026 ATM financing and issuance of common stock under our Employee Stock Purchase Plan (ESPP).</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$1.5 million for the six months ended May 31, 2025, and consisted primarily of proceeds from the issuance of common stock under our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market risks, as of May 31, 2026, have not changed materially from those discussed in “Item 7A. Quantitative and Qualitative Disclosures About Market Risk” of Part II of our Annual Report on Form 10-K for the year ended November 30, 2025, filed with the SEC on January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President and Chief Executive Officer and our Chief Financial Officer, our principal executive officer and principal accounting and financial officer, respectively, has evaluated the effectiveness of our disclosure controls and procedures (as defined in Rules 13a-15(e) and 15d-15(e) under the Securities Exchange Act of 1934, as amended (the Exchange Act) as of May 31, 2026.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May 31,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three months ended May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or condensed financial statements. Regardless of outcome, litigation can have an adverse impact on us due to defense and settlement costs, diversion of management resources, negative publicity and reputational harm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financial statements and related notes and the section titled “Management’s Discussion and Analysis of Financial Condition and Results of Operations.” These disclosures reflect our beliefs and opinions as to factors that could materially and adversely affect us and our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Need for Additional Capital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have incurred significant losses since our inception. We expect to incur losses over at least the next several years and may never achieve or maintain profitability.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 was $264.5 million for the fiscal year ended November 30, 2025, and $176.7 million for the six months ended May 31, 2026. As of May 31, 2026, we had an accumulated deficit of $1.2 billion. To date, we have not generated any revenue from product sales and have financed our operations primarily through our collaborations and sales of our equity interests. We are in the early stages of development of our drug candidates. Our lead drug candidates, bexobrutideg (NX-5948), zelebrudomide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increase enrollment in and further develop our drug candidates bexobrutideg, zelebrudomide and NX-1607 through Phase 1 and Phase 2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submit investigational new drug applications (INDs) and initiate clinical trials of our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enter advanced clinical development and scale up external manufacturing capabilities to supply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expand the capabilities of our DEL-AI platform and apply our DEL-AI platform to advance additional drug candidates into preclinical and clinical development;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conduct process development for manufacturing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seek marketing approvals for any drug candidates that successfully complete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prepare for negotiations with the pricing authorities and submission to the health technology appraisal (HTA) bodies;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ultimately establish a sales, marketing and distribution infrastructure and scale up external manufacturing capabilities to commercialize any drug candidates for which we may obtain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expand, maintain and protect our intellectual property portfolio;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hire additional clinical, regulatory, manufacturing, quality assurance and scientific personnel;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 operational, financial and management information systems and personnel to support our research, product development and future commercialization efforts and support our operations as a public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could increase beyond our expectations if we are required by the U.S. Food and Drug Administration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never generated revenue from product sales and may never be profitable.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 the early stages of clinical development of our lead drug candidates bexobrutideg, zelebrudomide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need substantial additional funding. If we are unable to raise capital when needed, we may be required to delay, limit, reduce or terminate our research or product development programs or future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expenses to increase substantially in connection with our ongoing activities, particularly as we conduct our Phase 1 and Phase 2 clinical trials of bexobrutideg, zelebrudomide and NX-1607 and any future development of our drug candidates, grow our pipeline of drug candidates, expand the breadth of our DEL-AI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and marketable securities of $443.5 million as of May 31, 2026.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progress, costs and results of our Phase 1 and Phase 2 clinical trials for bexobrutideg, our Phase 1 clinical trials for zelebrudomide and NX-1607,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progress, costs and results of preclinical and clinical development for our other drug candidates and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and development requirements of other drug candidates that we pursue;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of, and costs associated with, future advancements to our DEL-AI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our collaborations with Gilead Sciences, Inc. (Gilead), Sanofi S.A. (Sanofi), Seagen Inc. (now a part of Pfizer Inc. (Pfizer)) and F. Hoffmann-La Roche Ltd (Roche) and any other collaborations we may establish;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timing and outcome of regulatory review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timing and outcome of negotiations with pricing authorities and health technology assessment authorities;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timing of future commercialization activities, including product manufacturing, marketing, sales and distribution, for any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revenue, if any, received from commercial sales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timing of preparing, filing and prosecuting patent applications, maintaining and enforcing our intellectual property rights and defending any intellectual property-related claims;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establish additional collaboration arrangements with other biotechnology or pharmaceutical companies on favorable terms, if at all, for the development or commercialization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Raising additional capital may cause dilution to our stockholders, restrict our operations or require us to relinquish rights to our technologies or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or royalty payments under our collaborations with Gilead, Sanofi, Pfizer and Roche,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limited operating history may make it difficult to evaluate the success of our business to date and to assess our future viability.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Discovery and Development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are early in our development efforts. Our lead drug candidates, bexobrutideg (NX-5948), zelebrudomide (NX-2127) and NX-1607, are in the early stages of clinical development. If we are unable to advance our drug candidates through clinical development or to obtain regulatory approval for them, or to secure an adequate reimbursement price for them, or to commercialize them or experience significant delays in doing so, our business may be materially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early in our development efforts. Our lead drug candidates, bexobrutideg, zelebrudomide and NX-1607, are in the early stages of clinical development and their risk of failure is high. We have invested substantially all of our efforts and financial resources in building our DEL-AI platform, in the identification and preclinical development of our current drug candidates, in the preparation for and initiation of Phase 1 clinical trials for our lead drug candidates and in the preparation for and initiation of the DAYBreak Phase 2 clinical trial evaluating bexobrutideg.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sufficiency of our financial and other resources;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completion of preclinical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submission of INDs or Clinical Trial Applications and initiation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patient enrollment in, and completion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receipt and related terms of marketing approvals from applicable regulatory authorities;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obtaining and maintaining patent and trade secret protection and regulatory exclusivity for our drug candidates as well as obtaining relevant exclusivity extensions (due to the conduct of pediatric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making arrangements with third-party manufacturers, or establishing manufacturing capabilities, for both clinical and commercial supplies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achieving desirable therapeutic properties for our drug candidates’ intended indications;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acceptance of our products, if and when approved, by patients, the medical community and third-party payors;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obtaining and maintaining third-party coverage and adequate reimbursement;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establishing a continued acceptable safety profile of our drug candidates and maintaining such a profile following approval;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effectively competing with other therapies.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(NICE), the Scottish Medicines Consortium and NHS England. However, although the goal of ILAP and the Innovation Passport is to reduce the time to market and enable earlier patient access, they do not accelerate the conduct of clinical trials or mean that the regulatory requirements are less stringent, nor do they ensure that any NX-1607 marketing authorization application (MAA) will be approved or that any approval will be granted within any particular timeframe, nor that an adequate reimbursement price will be obtained. Despite receiving an Innovation Passport designation, we may decide to delay or forego the commercialization of NX-1607 in the UK or the development may otherwise not proceed.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One of our approaches to the discovery and development of drug candidates based on our targeted protein degradation platform is unproven, which makes it difficult to predict the time, cost of development and likelihood of successfully developing any products.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Treating diseases using targeted protein degradation is a new treatment modality. Our future success depends on the successful development of this novel therapeutic approach. Although multiple companies are testing drug candidates that eliminate protein targets, such as BTK degraders, few drugs have been approved in the United States or Europe. As such, the data underlying the long term safety and efficacy of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bexobrutideg and zelebrudomide degrade BTK with mutations that confer resistance to currently marketed BTK inhibitors, and we believe that preliminary data from our ongoing Phase 1 and Phase 2 trials of bexobrutideg and our Phase 1 trial of zelebrudomide may provide evidence of clinical benefit to patients with such resistance mutations. However, any inherent primary or acquired secondary resistance to our BTK degraders in patients would prevent or diminish their clinical benefit.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 the early stages of clinical development of bexobrutideg and zelebrudomide and we currently have limited safety data of bexobrutideg and zelebrudomide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regulatory approval process for novel drug candidates such as ours can be more expensive and take longer than for other, better-known or extensively-studied drug candidates. Although multiple companies are also developing therapeutics based on targeted protein degradation, few such therapeutics have been approved in the United States and Europe.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educating medical personnel regarding the potential efficacy and safety benefits, as well as the challenges, of incorporating our drug candidates, if approved, into treatment regimens;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establishing the sales and marketing capabilities to gain market acceptance, if approved.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factors may prevent us from completing our preclinical studies or any clinical trials that we may initiate, or from commercializing any targeted protein degrader drug candidates we may develop on a timely or profitable basis, if at all.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Drug development is a lengthy and expensive process, with an uncertain outcome. We may incur unexpected costs or experience delays in completing, or ultimately be unable to complete, the development and commercialization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numerous unforeseen events during, or as a result of, clinical trials that could delay or prevent our ability to receive marketing approval or commercialize our drug candidates,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experience delays in corresponding with the FDA or a foreign regulatory authority regarding regulatory issues;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delays in reaching, or may fail to reach, a consensus with regulators on trial design;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delays in reaching, or may fail to reach, agreement on acceptable clinical trial contracts or clinical trial protocols with prospective trial sites;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regulators or institutional review boards (IRBs) may not authorize us or our investigators to commence a clinical trial or conduct a clinical trial at a prospective trial site;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feedback from regulatory authorities that requires us to modify the design of our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face delays under human tissue act legislation and restrictions across various jurisdictions;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difficulty in designing clinical trials and in selecting endpoints for diseases that have not been well-studied and for which the natural history and course of the disease is poorly understood;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selection of certain clinical endpoints may require prolonged periods of clinical observation or analysis of the resulting data;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of patients required for clinical trials of our drug candidates may be larger than we anticipate, enrollment in these clinical trials may be slower than we anticipate or participants may drop out of these clinical trials at a higher rate than we anticipate;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drug candidates may have undesirable side effects or other unexpected characteristics, causing us or our investigators, regulators or IRBs to suspend or terminate the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third-party contractors may fail to comply with regulatory requirements or meet their contractual obligations to us in a timely manner, or at all;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regulators or IRBs may require that we or our investigators suspend or terminate clinical trials for various reasons, including noncompliance with regulatory requirements;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clinical trials of our drug candidates may produce negative or inconclusive results, and we may decide, or regulators may require us, to conduct additional clinical trials or abandon product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 of clinical trials of our drug candidates may be greater than we anticipate;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supply or quality of our drug candidates or other materials necessary to conduct clinical trials of our drug candidates may be insufficient or inadequate;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regulators may revise the requirements for approving our drug candidates, or such requirements may not be as we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current collaborators or any future collaborators that conduct clinical trials may face any of the above issues and may also conduct clinical trials in ways they view as advantageous to them but that are suboptimal for us;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disruptions caused by macroeconomic, political and market conditions, including supply chain disruptions, may increase the likelihood that we encounter such difficulties or delays in initiating, enrolling, conducting or completing our planned and ongoing clinical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 delayed in obtaining marketing approval for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not obtain marketing approval at all;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 approval for indications or patient populations that are not as broad as intended or desired;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 approval with labeling that includes significant use or distribution restrictions or safety warnings;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 subject to additional post-marketing testing requirements or changes in the way the product is administered;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have the product removed from the market after obtaining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bexobrutideg, zelebrudomide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serious adverse events, undesirable side effects or unexpected characteristics are identified during the development of any drug candidates we may develop, we may need to abandon or limit our further clinical development of those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bexobrutideg, zelebrudomide and NX-1607 in humans. There can be no assurance that our current drug candidates or any future drug candidate will not cause undesirable side effects. Unforeseen side effects from our drug candidates could arise at any time during preclinical or clinical development.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by our drug candidates in any of our current or future preclinical studies or clinical trials. There also is the potential risk of delayed adverse events following treatment with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results of preclinical studies and early-stage clinical trials may not be predictive of future results. Initial success in clinical trials may not be indicative of results obtained in later-stage trials or when these trials are completed.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preclinical studies may not be predictive of the results of clinical trials, and the results of any early-stage clinical trials we commence may not be predictive of the results of the later-stage clinical trials or when these trials are completed.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The results of our initial clinical trials for bexobrutideg, zelebrudomide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Interim top-line and preliminary data from our planned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published and may continue to publish interim top-line or preliminary data from our current and planned clinical trials. Interim data from clinical trials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experience delays or difficulties in enrolling patients in clinical trials, our receipt of necessary marketing approvals could be delayed or prevented.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bexobrutideg, zelebrudomide and NX-1607, and a Phase 2 clinical trial for bexobrutideg, and we expect to initiate a Phase 3 clinical trial for bexobrutideg in 2026. We cannot predict how difficult it will be to enroll patients for these trials. Therefore, our ability to identify and enroll eligible patients for our bexobrutideg, zelebrudomide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severity of the disease under investigation;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size of the patient population and process for identifying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availability and efficacy of approved medications for the disease under investigation;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eligibility criteria for the trial in question;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perceived risks and benefits of the drug candidates under study;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efforts to facilitate timely enrollment in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physicians’ attitudes and practices with respect to clinical trial enrollment;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burden on patients due to inconvenient procedures;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ability to monitor patients adequately during and after treatment;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proximity and availability of clinical trial sites for prospective patients.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expend our limited resources to pursue a particular drug candidate or indication and fail to capitalize on drug candidates or indications that may be more profitable or for which there is a greater likelihood of success.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manufacture of drugs is complex, and we and our third-party manufacturers are early in our manufacturing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zelebrudomide, the FDA placed a partial clinical hold on our ongoing Phase 1 clinical trial evaluating zelebrudomide. We actively engaged in discussions with FDA as part of our efforts to lift the partial clinical hold, and in March 2024, the FDA lifted the partial clinical hold. There can be no assurance that we can address any issues resulting in any partial or full clinical hold in a timely manner or at all, and we may incur additional expenses in connection with our efforts to address a partial or full clinical hold or advance our clinical programs.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identify or discover additional potential drug candidates, or in further efforts to expand the breadth of our DEL-AI platform.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key element of our strategy is to apply our DEL-AI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research methodology used may not be successful in identifying potential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potential drug candidates may, on further study, be shown to have harmful side effects or other characteristics that indicate that they are unlikely to be drugs that will receive marketing approval or achieve market acceptance;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potential drug candidates may not be effective in treating their targeted diseases.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intend to expand the capabilities of our DEL-AI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DEL-AI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DEL-AI platform.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face substantial competition in an environment of rapid technological change, which may result in others discovering, developing or commercializing products before or more successfully than we do.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degradation,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aware of a number of biotechnology companies focused on developing small molecules that degrade target proteins or inhibit E3 ligases, many of which currently are in preclinical or clinical development. In addition, certain large pharmaceutical companies have disclosed investments in this field. Furthermore, we are aware of multiple other BTK degrader programs in clinical development.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do not achieve our projected development goals in the time frames we expect and announce, the commercialization of our products may be delayed and, as a result, our stock price may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Pfizer or Roche.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estimated market opportunities for our drug candidates are subject to numerous uncertainties and may prove to be inaccurate. If we have overestimated the size of our market opportunities, our future growth may be limited.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biopharmaceutical industry is subject to extensive regulatory obligations and policies that are subject to change, including due to judicial challenges.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On June 28, 2024, the U.S. Supreme Court issued an opinion in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 xml:space="preserve">holding that courts reviewing agency action pursuant to the Administrative Procedure Act (APA) “must exercise their independent judgment” and “may not defer to an agency interpretation of the law simply because a statute is ambiguous.” The decision has and will have a significant impact on how lower courts evaluate challenges to agency interpretations of law, including those by the FDA and other agencies with significant oversight of the biopharmaceutical industry. This framework may result in an increase in both the frequency of such challenges and their odds of success by eliminating one way in which the government previously prevailed in such cases. As a result, significant regulatory policies may be subject to increased litigation and judicial scrutiny.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resulting changes in regulation may result in unexpected delays, increased costs, or other negative impacts on our business that are difficult to predict but could have a material adverse effect on our business and financial condition. For example, certain of these changes could impose additional limitations on the rates we will be able to charge for our future products or the amounts of reimbursement available for our future products from governmental agencies or third-party payors.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Dependence on Third Parties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in September 2023 we entered into a collaboration with Seagen Inc. (now a part of Pfizer); and in June 2026 we entered into a collaboration with Roche which will become effective upon the expiration or termination of the applicable waiting period under the Hart-Scott-Roding Antitrust Improvements Act of 1976, as amended, and the expiration, termination or resolution of all other required waiting periods, clearance decision or outstanding inquiries under antitrust laws. The foregoing collaborations require us to conduct certain research, development, manufacturing, co-promotion or other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involving our research programs or any drug candidates we may develop, including our collaborations with Gilead, Sanofi, Pfizer and Roche, pose risks to us,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have significant discretion in determining the efforts and resources that they will apply to collaborations with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 In addition, Roche has an exclusive option right, during a specified option period, to expand its license to include one additional BTK degrader to the extent one is developed by us.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delay clinical trials, provide insufficient funding for a clinical trial program, stop a clinical trial or abandon a drug candidate, repeat or conduct new clinical trials or require a new formulation of a drug candidate for clinical testing.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with marketing and distribution rights to one or more products may not commit sufficient resources to the marketing and distribution of such product or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Pfizer and Roche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Disputes may arise between the collaborators and us that result in the delay or termination of the research, development or commercialization of our products or drug candidates or that result in costly litigation or arbitration that diverts management attention and resources.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lose certain valuable rights under circumstances identified in our collaborations, including if we undergo a change of control. For example, Sanofi may terminate its agreement with us if we undergo a change of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Collaborations may be terminated and, if terminated, may result in a need for additional capital to pursue further development or commercialization of the applicable drug candidates. For example, each of Gilead, Sanofi, Pfizer and Roche can terminate its agreement with us in its entirety (or, under our agreements with Gilead, Sanofi and Pfizer, with respect to a specific target) for convenience upon written notice or in connection with a material breach of the agreement by us that remains uncured for a specified period of time.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collaborations do not result in the successful development and commercialization of products, or if one of our collaborators terminates its agreement with us, we may not receive any future research funding, milestone payments, royalty payments or benefits under the collaboration. If we do not receive the funding or economic benefits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Quarterly Report on Form 10-Q apply to the activities of our collaborators.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Roche Collaboration Agreement is subject to closing conditions and may not close when expected or at all, and we may fail to realize all of the anticipated benefits.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2026, we entered into the Roche Collaboration Agreement for the co-development and co-commercialization of bexobrutideg. The closing of the Roche Collaboration Agreement is subject to customary closing conditions, including the expiration or termination of the applicable waiting period under the Hart-Scott-Rodino Antitrust Improvements Act of 1976, as amended, and the expiration, termination or resolution of all other required waiting periods, clearance decisions or outstanding inquiries under antitrust laws. While we expect the Roche Collaboration Agreement to become effective in the third fiscal quarter of 2026, we cannot provide assurance that the collaboration will close when expected or at all. A number of factors, including regulatory or governmental action, litigation, and macroeconomic or market conditions, may prevent, delay or otherwise materially and adversely affect the ability of the parties to complete the collaboration. The failure to receive any required antitrust approvals in a timely manner could delay or prevent the closing of the Roche Collaboration Agreement. If the closing of the Roche Collaboration Agreement is delayed, receipt of the $700 million upfront payment would be delayed, and if the closing does not occur, we would not receive the upfront payment or realize the other potential benefits of the collaboration, including payments of up to $2.3 billion in potential total payments, including the upfront payment. In addition, the failure to close the Roche Collaboration Agreement may materially and adversely affect the market price of our common stock and could harm our reputation, business and operations if customers, investors or other parties react negatively to the failed transaction. Furthermore, if the Roche Collaboration Agreement does not close, we may need to seek alternative sources of capital or collaboration partners to advance the development and commercialization of bexobrutideg, which may not be available on favorable terms, or at all, and may distract management’s attention and resources from other business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seek to establish additional collaborations. If we are not able to establish collaborations on commercially reasonable terms, we may have to alter our development and commercialization plans.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on third parties to conduct our clinical trials, and those third parties may not perform satisfactorily, including failing to meet deadlines for completing such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contract research organizations (CROs) to conduct our clinical trial programs for bexobrutideg, zelebrudomide and NX-1607 and we will rely on third-party CROs to conduct any clinical trials for other drug candidates. Agreements with these CROs might terminate for a variety of reasons, including due to a CRO’s failure to perform. Entry into alternative arrangements, if necessary, could significantly delay our product development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(GCPs) for conducting, recording and reporting the results of clinical trials to assure that data and reported results are credible and accurate and that the rights, integrity and confidentiality of trial participants are protected.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For example, the United States has imposed tariffs on non-U.S. goods, including those imported from China, where certain of our third-party manufacturers and suppliers are located. While we believe we currently have sufficient inventory for clinical use and do not anticipate any near-term impact to our clinical programs, we expect these tariffs may increase the cost of our product supply in the future. Such events could result in our clinical or commercial supply of drug, packaging and other services being interrupted or limited, which could harm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to establish agreements with CMOs or to do so on acceptable terms. Even if we are able to establish agreements with CMOs, reliance on them entails additional risks,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reliance on the CMO for regulatory, compliance and quality assurance;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breach of the manufacturing agreement by the CMO;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misappropriation of our proprietary information, including our trade secrets and know-how;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termination or nonrenewal of the agreement by the CMO at a time that is costly or inconvenient for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anticipated future dependence upon others for the manufacture of our drug candidates or products may adversely affect our future profit margins and our ability to commercialize any products that receive marketing approval on a timely and competitive basis.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Some of our suppliers may experience disruption to their respective supply chain due to the effects of macroeconomic conditions,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obtain certain chemical or biological intermediates in the synthesis of our drug candidates and natural health products (NHPs) for toxicology testing in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and production processes. For example, the United States has announced tariffs on many goods imported from specified nations, including China and those in the European Union. In addition, there are currently discussions concerning potential increased tariffs for pharmaceutical products, which may impact our supply chain and create uncertainty in the broader pharmaceutical industry. While certain tariffs have been suspended, modified or temporarily reduced, we cannot predict the results of the U.S. government’s trade negotiations or the outcome of ongoing legal challenges to specific tariff policies.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CMOs may be unable to successfully scale-up manufacturing of our drug candidates in sufficient quality and quantity, which would delay or prevent us from developing our drug candidates and commercializing approved products, if 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Commercialization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Even if any of our drug candidates receive marketing approval, a drug candidate may fail to achieve the degree of market acceptance by physicians, patients, third-party payors and others in the medical community necessary for commercial success.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efficacy and potential advantages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prevalence and severity of any side effects, in particular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offer our products for sale at competitive prices;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convenience and ease of administration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willingness of the target patient population to try new therapies and of physicians to prescribe these therapies;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strength of our marketing, sales and distribution support;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availability of third-party payor coverage and adequate reimbursement;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ability to secure a positive HTA recommendation for the product to be prescribed and reimbursed under the national health system;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timing of any marketing approval in relation to other product approvals;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restrictions on the use of our products together with other medications.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or our collaborators are unable to establish sales and marketing capabilities, we may not be successful in commercializing our drug candidates if and when they are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Factors that may inhibit our efforts to commercialize our products on our own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inability to recruit, train and retain adequate numbers of effective sales, marketing, reimbursement, customer service, medical affairs and other support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unforeseen costs and expenses associated with creating an independent sales and marketing organization.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are able to commercialize any drug candidates, the products may become subject to unfavorable pricing regulations, third-party reimbursement practices or healthcare reform initiatives, or fail to secure a positive health technology assessment, which would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non-U.S.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Product liability lawsuits against us could cause us to incur substantial liabilities and to limit commercialization of any products that we may develop.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decreased demand for any drug candidates or products that we may develop;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termination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marketing approval, recall, restriction on the approval or a “black box” warning or contraindication for an approved drug;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clinical trial participants;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significant costs to defend the related litigation;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loss of revenue;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injury to our reputation and significant negative media attention;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reduced resources of our management to pursue our business strategy;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inability to commercialize any products that we may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inter partes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in patent law in the United States and in non-U.S. jurisdictions could diminish the value of patents in general, thereby impairing our ability to protect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and in other jurisdictions, such as the UK and the EU, including through a supplementary protection certificate (SPC). In the EU and the UK, patent protection can be extended for a maximum period of five years and six months under certain circumstances.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need to license intellectual property from third parties that may not be available to us or may not be available on commercially reasonable terms, and we may not be successful in obtaining or maintaining necessary rights to our drug candidates through acquisitions and in-licenses.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inter partes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inter partes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bexobrutideg and zelebrudomide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 and other types of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degradation therapies that target disease-causing proteins.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choose to challenge the enforceability or validity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patent litigation and other proceedings could delay our research and development efforts, adversely affect our ability to raise additional funds and could limit our ability to continue our operations. Any of the foregoing could have a material adverse effect on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although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involved in lawsuits to protect or enforce our patents, the patents of our licensors, or other intellectual property, which could be expensive, time-consuming and unsuccessful.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drug candidates, approved products, programs or intellectual property could be diminished. Accordingly, the market price of shares of our common stock may decline. Such announcements could also harm our reputation or the market for our drug candidates, which could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pursue or guarantee protection of our intellectual property rights in jurisdictions outside the United States.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very little precedent for the court, increasing the uncertainty of any litigation. As a single court system can invalidate a European patent, we, where applicable, may opt out of the UPC, and as such, each European patent would need to be challenged in each individual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8"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patent protection depends on compliance with various procedural, documentary, fee payment and other requirements imposed by governmental patent offices, and our patent protection could be reduced or eliminated for non-compliance with these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subject to claims challenging the inventorship or ownership of our patents and other intellectual property.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our business and competitive position would be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9"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Intellectual property rights do not necessarily address all potential threats.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drug candidates utilizing issued patents and other intellectual property that we hold may prove to be ineffective for their intended treatment or we may not obtain regulatory approval for such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or our current or future license partners or collaborators, might not have been the first to make the inventions covered by the issued patent or pending patent application that we own or license now or in the future;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or our current or future license partners or collaborators, might not have been the first to file patent applications covering certain of our or their inventions;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it is possible that our pending owned patent applications or those that we may own or license in the future will not lead to issued patents;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claims of any current patents or patent issuing based on patent applications that we own may not provide protection against competitors or any competitive advantages or may be challenged by third parties;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issued patents that we may hold rights to in the future may be held invalid or unenforceable, including as a result of legal challenges by our competitors;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70"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countries other than the United States may have patent laws less favorable to patentees than those upheld by U.S. courts, allowing foreign competitors a better opportunity to create, develop and market competing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enforce and/or defend our patent rights, a court may not hold that our patents are valid, enforceable and infringed;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fail to adequately protect and police our trademarks and trade secrets;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patents of others may have an adverse effect on our business, including if others obtain patents claiming subject matter similar to or improving subject matter that is covered by our patent applications.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Regulatory Approval and Marketing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The regulatory approval process of the FDA and other national or European regulators is lengthy, time-consuming and inherently unpredictable, and if we are ultimately unable to obtain marketing approval for our drug candidates, our business will be substantially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could be delayed or fail to receive marketing approval for many reasons, including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disagree with our interpretation of data from preclinical studies or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disagree with the design or implementation of our planned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data collected from clinical trials of our drug candidates may not be sufficient to support the submission of an NDA to the FDA or other submissions necessary to obtain marketing approval in the United States;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be unable to demonstrate to the satisfaction of the FDA that a drug candidate is safe and effective for its proposed indication;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results of clinical trials may not meet the level of statistical significance required by the FDA for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be unable to demonstrate that our drug candidates’ clinical and other benefits outweigh their safety risks;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find deficiencies with or fail to approve the manufacturing processes or facilities of third-party manufacturers with which we contract for clinical and commercial supplies;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approval policies or regulations of the FDA may significantly change, including in a manner rendering our clinical data insufficient for approval or otherwise impacting the FDA’s review process and timing or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1"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received Fast Track designation for bexobrutideg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2024, the FDA granted Fast Track designation for bexobrutideg in the United States for the treatment of adult patients with relapsed or refractory CLL or small lymphocytic lymphoma after at least two lines of therapy, including a BTK inhibitor and a B-cell lymphoma 2 inhibitor, and in December 2024, the FDA granted Fast Track designation for bexobrutideg in the United States for the treatment of adult patients with relapsed or refractory Waldenström macroglobulinemia after at least two lines of therapy, including a BTK inhibitor. As part of our business strategy, we may also seek Fast Track designation for our other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 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FDA policies, a drug candidate is eligible for Priority Review, or review within a six-month time frame from the time a complete NDA is accepted for filing, if the drug candidate provides a significant improvement in the safety or effectiveness of the treatment, diagnosis or prevention of serious conditions compared to available therapies.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2"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and under the FDA’s draft guidance on “Accelerated Approval and Considerations for Determining Whether a Confirmatory Trial is Underway” made available in January 2025. If such confirmatory trials fail to confirm the drug’s clinical profile or risks and benefits, the FDA may withdraw its approval of the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3"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 The FDA’s January 2025 draft guidance on “Accelerated Approval and Considerations for Determining Whether a Confirmatory Trial is Underway,” while not finalized, suggests that the FDA generally intends to consider a confirmatory trial to be “underway” prior to accelerated approval if (1) the trial has a target completion date that is consistent with diligent and timely conduct of the trial, considering the nature of the trial’s design and objectives, (2) the sponsor’s progress and plans for postapproval conduct of the trial provide sufficient assurance to expect timely completion of the trial, and (3) enrollment of the confirmatory trial has been initiated.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as a company, have limited experience in filing for and obtaining regulatory approval to initiate a clinical trial, and we do not have experience completing any pivotal clinical trials or in manufacturing or in quality assurance in order to market a new drug in the United States or in any other jurisdiction.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limited experience in filing for or obtaining regulatory approval to initiate clinical trials, we do not have experience completing any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Failure by us or our collaborators to obtain marketing approval in foreign jurisdictions would prevent our drug candidates from being marketed abroad and may limit our ability to generate revenue from product sales.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market and sell our drug candidates in jurisdictions outside the United States, we or any collaborators with rights in such jurisdictions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or our collaborators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or our collaborators may not be able to file for marketing approvals and may not receive necessary approvals to commercialize our products in any jurisdiction, which would materially impair our ability to generate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Due to the UK’s exit from the EU, the UK is now being treated as a “third country” by the EU. Although UK legislation has retained existing EU law, new UK legislation is being drafted and the UK has not retained new EU law, including the Clinical Trials Regulation (EU) No 536/2014. The UK has implemented separate clinical trial regulations, including the Medicines for Human Use (Clinical Trials) (Amendment) Regulations 2025, which came into force on April 28, 2026.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The UK government reached a new agreement with the EU, the “Windsor Framework,” which amended the Northern Ireland Protocol, pursuant to which, the EU pharmaceutical legal framework acquis continued to apply to Northern Ireland. According to the Windsor Framework, medicinal products intended for the UK market including Northern Ireland will be authorized by the MHRA and must bear a “UK only” label. This means that medicinal products placed on the market in Northern Ireland no longer need to be compliant with EU law. These new measures were implemented beginning January 1, 2025. </w:t>
      </w:r>
      <w:r>
        <w:rPr>
          <w:rFonts w:ascii="Times New Roman;serif" w:hAnsi="Times New Roman;serif"/>
          <w:b w:val="false"/>
          <w:color w:val="000000"/>
          <w:sz w:val="20"/>
          <w:shd w:fill="FFFFFF" w:val="clear"/>
        </w:rPr>
        <w:t xml:space="preserve">The TCA allows for future deviation from the current regulatory framework, and it is not known if and/or when any deviations may occur, which may have an impact on development, manufacture, </w:t>
      </w:r>
      <w:r>
        <w:rPr>
          <w:rFonts w:ascii="Times New Roman;serif" w:hAnsi="Times New Roman;serif"/>
          <w:b w:val="false"/>
          <w:color w:val="000000"/>
          <w:sz w:val="20"/>
        </w:rPr>
        <w:t xml:space="preserve">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or any collaborators, obtain marketing approvals for our drug candidates, the terms of approvals and ongoing regulation of our products may limit how we, or they, manufacture and market our products, which could materially impair our ability to generate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later discover that the drug is less effective than previously believed, or causes undesirable side effects that were not previously identified, or if issues with the manufacturing process or manufacturers arise, or if we fail to comply with regulatory requirements, a number of potentially significant negative consequences could result, including: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regulatory authorities may withdraw their approval of the drug or seize the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may be required to recall the drug, change the way the drug is administered, conduct post-marketing studies or additional clinical trials, or withdraw the drug from the market;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additional restrictions may be imposed on the marketing, manufacturing processes, distribution, import or export, or use of the particular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be subject to litigation, fines, restitution, disgorgement of profits or revenues, injunctions or the imposition of civil or criminal penalties;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warning letters or untitled letters from regulatory authorities;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regulatory authorities may require the addition of labeling statements, such as a “black box” warning or a contraindication, or impose other restrictions or warnings on the labeling or marketing of the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may be required to create a Medication Guide outlining the risks of the previously unidentified side effects for distribution to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authorities may refuse to approve pending applications or supplements to approved applications that we submit;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ongoing clinical trials may be suspended;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could be sued and held liable for harm caused to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relationships with any potential collaborators may be damaged;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drug may become less competitive in the marketplace;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unfavorable press coverage;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and adverse effect on our operations and business and could adversely impact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The FDA has increased scrutiny of product claims and, in 2025, issued a significant number of enforcement actions to companies. Other jurisdictions, including European countries, have similar provisions which may lead to investigations and enforcement actions by national authorities.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Non-compliance with EU and UK requirements regarding safety monitoring or pharmacovigilance, or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received Orphan Drug Designation for bexobrutideg (NX-5948) and may seek Orphan Drug Designation for other drug candidates in the future. If we decide to seek Orphan Drug Designation or other designations from regulators for any of our other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the FDA granted Orphan Drug Designation to bexobrutideg for the treatment of Waldenström macroglobulinemia, and in June 2025, the EMA granted Orphan Drug Designation to bexobrutideg for the treatment of adult patients with lymphoplasmacytic lymphoma, of which Waldenström macroglobulinemia is the most common subtype. As part of our business strategy, we may also seek Orphan Drug Designation or other designations from regulators for our other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biologics license application,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Congress is considering updates to the orphan drug provisions of the FDCA in response to a 2021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current EU general pharmaceutical legislative framework, in order to obtain orphan designation in the EEA (similar legislation applies in the UK), the product must fulfill certain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however, important to note that under the new EU pharmaceutical reform package (the EU Pharma Package), which is expected to be fully implemented by the end of 2028, the orphan designation criteria will be amended to eliminate the alternative criterion based on insufficient return on investment, which has not been used in practice.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protections afforded to medicinal products, including data exclusivity, market protection, market exclusivity for orphan indications and pediatric extensions, are also currently being revised as part of the EU pharmaceutical reform package (the EU Pharma Package). The EU Council and the European Parliament agreed on the final compromise texts of the proposed Regulation and Directive on March 6, 2026. The legislation is undergoing further procedural steps prior to formal adoption by both institutions, and it is not expected that these aspects will change materially prior to adoption.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revised periods of regulatory protection are reflected in the agreed compromise texts. Under the proposed new framework, orphan medicinal products would benefit from a baseline period of nine years of market exclusivity, which may be increased to 11 years for products qualifying as “breakthrough” orphan medicines. In each case, this exclusivity period may be further extended by up to two additional one-year periods for new orphan indications. While the legislation does not yet clearly define the criteria for “breakthrough” designation, the concept is expected to capture medicines addressing unmet medical needs. In addition, the new framework would retain the existing six-month SPC extension as a pediatric reward for the completion of studies in accordance with an agreed pediatric investigation plan (PIP).</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compromise texts also introduce changes to the general regulatory exclusivity regime. Non-orphan medicinal products would benefit from a baseline period of eight years of regulatory data protection (RDP) and one year of market protection, with the possibility of up to two additional one-year extensions in specified circumstances. However, these periods of protection may be reduced or lost if the marketing authorization holder fails to comply with a Member State request to launch the product in that Member State, or fails to ensure continuous and sufficient supply of the product to meet patient needs within the required timeframe.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adopted acts are expected to enter into force in 2026, followed by a 24-month transition period. Accordingly, the new legislation is expected to become fully applicable by the end of 2028. Products for which a marketing authorization application is submitted before the entry into force of the new legislation are expected to continue to benefit from the existing regulatory protection regime. The revised protection periods would apply only to products for which marketing authorization applications are submitted after the new legislation becomes fully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8"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9"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UK marketing authorization).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an SPC or a patent qualifying for an SPC).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routes of administration.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SPC may be entitled to a six-month extension to the SPC. Additionally, the European Commission’s new proposed legislation, if or when it is implemented, will also affect the current EU legal framework of pediatric medicines.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 Pharma Package, as reflected in the compromise texts agreed between the EU Council and the European Parliament on March 6, 2026, would substantially revise the current pediatric framework by integrating it into the broader pharmaceutical legislation. While the six-month SPC extension would be retained, the additional two-year extension of orphan market exclusivity for pediatric indications would be removed. The revised framework would also narrow the availability of waivers, introduce a new “initial PIP” mechanism in specified circumstances, and limit deferrals to a maximum duration of five years. In addition, it would require that medicinal products authorized for a pediatric indication be placed on the market in all Member States where other indications of the same product have been authorized.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changes would apply only once the new legislation becomes fully applicable, which is currently expected to occur at the end of 2028, following entry into force expected at the end of 2026 and a 24-month transition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expected coverage and reimbursement of our products will subject us to broadly applicable fraud and abuse and other healthcare laws and regulations that may constrain the business or financial arrangements and relationships through which we market, sell and distribute any drug candidates for which we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U.S. federal and state and non-U.S. healthcare laws and regulations include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80"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healthcare benefits;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HIPAA, as amended by the Health Information Technology for Economic and Clinical Health Act, and its implementing regulations, which also imposes obligations, including mandatory contractual terms, on certain types of people and entities with respect to safeguarding the privacy, security and transmission of individually identifiable health information;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laws that require pharmaceutical companies to comply with the pharmaceutical industry’s voluntary compliance guidelines and relevant compliance guidance promulgated by the federal government;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laws that require drug manufacturers to report information related to payments and other transfers of value to physicians and other healthcare providers or marketing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1"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and foreign laws that govern the privacy and security of health information in some circumstances, many of which differ from each other in significant ways and often are not preempted by HIPAA, thus complicating compliance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with respect to the UK, the UK Bribery Act 2010 (Bribery Act). Infringement of these laws may result in substantial fines and imprisonment. EU pharmaceutical legislation provides that, where medicinal products are being promoted to healthcare professionals, no gifts, pecuniary advantages or benefits in kind may be supplied, offered or promised to such individuals unless they are inexpensive and relevant to the practice of medicine or pharmacy. These requirements also apply in the UK through the Human Medicines Regulations 2012.</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Disruptions at the FDA may slow the time necessary for new products to be reviewed and/or approved, which would adversely affect our business. In addition,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Federal government shutdowns pose comparable risks. The U.S. government has experienced several shutdowns, including in 2025, during which regulatory agencies such as the FDA have furloughed critical employees and suspended critical activities. A prolonged government shutdown, or geopolitical or global health concerns that prevent the FDA from conducting regular inspections, reviews, or other regulatory activities, could significantly impact the FDA’s ability to timely review and process our regulatory submissions, which could have a material adverse effect on our business. Such disruptions could delay the development of our product candidates or prevent us from obtaining timely regulatory approvals. Further, future government shutdowns or delays could impact our ability to access the public markets and obtain necessary capital in order to properly capitalize and continue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2"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FDA-regulated industries, such as ours, face uncertainty with regard to the regulatory environment we will face as we proceed with research and development, and possibly in future commercialization. Some of these efforts have manifested to date in the form of FDA reductions in workforce or other personnel measures that could impact the FDA’s ability to hire and retain key personnel, which could result in delays or limitations on our ability to obtain guidance from the FDA on our product candidates in development and obtain the requisite regulatory approvals in the future. Moreover, additional changes to budget and staffing of other governmental agencies, including but not limited to those within the Department of Health and Human Services (HHS), could affect development activities such as enrollment and conduct of clinical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remains general uncertainty regarding future activities. New executive orders, regulations, policies or guidance could be issued or promulgated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in connection with new initiatives, 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judicial or administrative or executive action, either in the United States or abroad.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Current and future legislation may increase the difficulty and cost for us, and any collaborators, to obtain marketing approval of and commercialize our drug candidates and affect the prices we, or they, may obtain.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establish a “maximum fair price” for a fixed number of pharmaceutical and biological products covered under Medicare Parts B and D following a price negotiation process with the Centers for Medicare &amp; Medicaid Services (CMS); and penalize drug companies that raise prices for products covered under Medicare Parts B and D faster than inflation, among other reforms. CMS has taken and continues to take steps to implement the IRA, including negotiating and publishing “maximum fair prices” for drugs selected under the IRA’s price negotiation framework and releasing quarterly lists of Medicare Part B products and annual lists of Medicare Part D products that are subject to adjusted coinsurance rates based on the inflationary rebate provisions of the IRA. Additionally, when originally enacted, the IRA explicitly excluded from price negotiation orphan drugs designated for only one rare disease or condition and for which the only active approved indication is for such disease or condition. However, the One Big Beautiful Bill Act (OBBBA) signed into law on July 4, 2025, amended the applicable statute to broaden the orphan drug exclusion such that products with more than one orphan designation and more than one approved indication will remain exempt from price negotiation, so long as each approved indication is for a rare disease or condition. The OBBBA also postpones the start of price negotiation requirements for drugs and biologics with orphan designations until the product receives approval for a non-orphan indication.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3"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unclear how future regulatory actions to implement the IRA may affect our products and future profitability. Although in May 2026 the Supreme Court declined to hear certain manufacturer challenges to the IRA price negotiation program, other litigation remains pending, the outcome of which could affect the scope and operation of the program. We also cannot predict the likelihood, nature, or extent of other health reform initiatives that may arise from future legislation or administrative actions.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presidential administration has also signaled its intent to pursue additional healthcare reform measures, including those aimed at reducing prescription drug prices, through various means, including presidential executive orders and agency action. These efforts include, among other things, proposals to establish a “most favored nation” drug pricing policy that would tie U.S. drug prices to the prices paid for drugs in other countries. Additionally, on April 2, 2026, President Trump issued a separate proclamation imposing tariffs on certain imported patented pharmaceuticals and pharmaceutical ingredients pursuant to Section 232 of the Trade Expansion Act of 1962 and linking certain tariff relief to “most-favored-nation” pricing commitments and domestic manufacturing initiatives. Although implementation of the tariffs is subject to phased effective dates beginning in July 2026 for certain manufacturers, it remains to be seen how these drug pricing initiatives will affect the broader pharmaceutical industry.</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In addition, on June 28, 2024, the U.S. Supreme Court issued an opinion in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holding that courts reviewing agency action pursuant to the APA “must exercise their independent judgment” and “may not defer to an agency interpretation of the law simply because a statute is ambiguous.” The decision has impacted how lower courts evaluate challenges to agency interpretations of law, including those by CMS and other agencies with significant oversight of the healthcare industry. For additional information, see the risk factor above titled “The biopharmaceutical industry is subject to extensive regulatory obligations and policies that are subject to change, including due to judicial challenges.”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Another emerging trend at the state level is the establishment of prescription drug affordability boards, some of which will prospectively permit certain states to establish upper payment limits for drugs that the state has determined to be “high-cost.” Prescription drug affordability boards in several states, including Colorado, Maryland, Oregon, and Washington, have begun identifying products for affordability reviews, issuing information requests to manufacturers to determine whether upper payment limits may be justified, and, in the case of Colorado, implementing upper payment limits.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Governments outside of the United States tend to impose strict price controls, which may adversely affect our revenues from the sales of drugs, if 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NICE), which may significantly impact effective access to the market. As of January 12, 2025, EU Health Technology Assessment Regulation No. 2021/2282 became applicable in respect of new oncology medicines. Regulation No. 2021/2282 imposes a new procedure, a joint clinical assessment at a centralized level, as a mandatory step for the assessment of the pricing and reimbursement of medicinal products by national authorities. It requires companies applying for products in scope to make relevant submissions for the joint clinical assessment, in line with a number of prespecified criteria.</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reimbursement of our drugs is unavailable or limited in scope or amount, or if pricing is set at unsatisfactory levels, our business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4"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the Trump Administration's continued efforts to implement "most-favored-nations" pricing in the United States may have unpredictable effects on prices of medicinal products in European countries. For additional information, see the risk factor above titled “Current and future legislation may increase the difficulty and cost for us, and any collaborators, to obtain marketing approval of and commercialize our drug candidates and affect the prices we, or they, may obtain.” This policy may introduce significant risks to our future pricing strategies, revenue, and profitability in the U.S. market. Additionally, a May 2025 Executive Order instructs the Department of Commerce and the U.S. Trade Representative to take action against foreign countries that engage in practices suppressing drug prices below fair market value, which could lead to increased pricing pressures or regulatory changes in international markets. These developments, depending on whether and how they may be enacted, may adversely affect our global operations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Employees, Managing our Growth and Other Legal Matters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attract and retain management and other key personnel, we may be unable to continue to successfully develop our current and any future drug candidates, commercialize our drug candidates or otherwise implement our business plan.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5"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need to grow our organization, and we may experience difficulties in managing this growth, which could disrupt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we currently have three drug candidates in ongoing Phase 1 trials, and we initiated a Phase 2 clinical trial for bexobrutideg in October 2025.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vendors, principal investigators, CROs and consultants may engage in misconduct or other improper activities, including non-compliance with regulatory standards and requirements and insider trading laws.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vendors, principal investigators, CROs and consultants may engage in fraudulent conduct or other illegal activity. Misconduct by these parties could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intentional, reckless or negligent conduct or disclosure to us of unauthorized activities that violate the regulations of the FDA or similar foreign regulatory authorities;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healthcare fraud and abuse in violation of U.S. and foreign laws and regulations;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violations of U.S. federal securities laws relating to trading in our common stock;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failures to report financial information or data accurately.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on information technology systems, infrastructure and data to operate our business. In the ordinary course of our business, we collect, store and transmit large amounts of confidential and sensitive information, including but not limited to intellectual property, proprietary business information and personal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6"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distributed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More capable general-purpose AI models released by major providers that are or may soon become widely accessible to developers and end users have amplified, and will continue to amplify, the capabilities of attackers, enabling more targeted and convincing phishing and social engineering campaigns, automated identification and exploitation of software vulnerabilities, the generation of novel malware and attack vectors, prompt injection attacks, automated reconnaissance, and the ability to conduct attacks at greater speed and scale than previously possible. Additionally, AI-enhanced threats may be more difficult to detect using traditional security measures and may require us to invest in additional defensive capabilities.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or sensitive information (including trade secrets or other intellectual property, proprietary business information, and personal information), which could result in financial, legal, business, and reputational harm to us. If any such event, including a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international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as later amended by the California Privacy Rights Act (CCPA), which provides for a private right of action in the event of certain data security breaches. Additionally, the SEC adopted a cybersecurity disclosure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7"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obtain and process a large amount of proprietary and sensitive data. Any real or perceived improper use of, disclosure of, or access to such data could harm our reputation, as well as have an adverse effect on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 risk that we could be impacted by a cybersecurity incident that results in loss or unauthorized disclosure of this proprietary and sensitive information, potentially resulting in harm to our reputation and financial losses. 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settlement. Such breach notification laws continue to evolve and may be inconsistent from one jurisdiction to another. In the United States, the SEC has adopted rules for mandatory disclosure of cybersecurity incidents suffered by public companies, as well as cybersecurity governance and risk management. Complying with these obligations could cause us to incur substantial costs and could increase negative publicity surrounding any incident that compromises customer data.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a variety of stringent and changing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CROs,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8"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laws and regulations governing the privacy of health information, such as state privacy laws or HIPAA, establish privacy and security standards that may apply to us or healthcare providers that we interact with. These laws may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HHS, as well as state Attorneys General have enforcement authority for HIPAA, and any enforcement activity can result in financial liability and reputational harm, and responses to such enforcement activity can consume significant internal resources. On December 10, 2020, HHS issued proposed revisions to the HIPAA Privacy Rule aimed at reducing regulatory burdens that may exist in discouraging coordination of care, including creating an exception to the minimum necessary standard for healthcare coordination, and other proposals to increase patient access to their health information, among other changes. Moreover, on December 27, 2024, HHS issued proposed revisions to the HIPAA Security Rule aimed at strengthening required cybersecurity protections for protected health information While a final rule has not yet been issued for either proposed rule, if adopted, these proposed changes may change standards for the processing, securing and sharing of health information in the industry, and impose additional risks and costs.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Trade Commission (FTC) has authority under Section 5 of the FTC Act to regulate unfair or deceptive practices, and has used this authority to initiate enforcement actions against companies that implement inadequate controls around privacy and information security in violation of their externally facing policies. The FTC, as well as state attorneys general, have taken enforcement action against companies that do not abide by their representations to consumers regarding electronic security and privacy, including with respect to health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referenced above, states have shown an increased interest in regulating the processing of personal information in general and specifically in the privacy of health data. Washington state passed the My Health My Data Act, which took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certain other states have enacted consumer health data protection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Personal information privacy remains an evolving landscape at both the U.S. state and international level, with new regulations coming into effect. For example, the CCPA, which came into effect on January 1, 2020, and was amended and expanded by the California Privacy Rights Act as of January 1, 2023, provides California residents expanded privacy rights, including the right to request correction, access, and deletion of their personal information, the right to opt out of personal information sharing with certain third parties for cross-context behavioral advertising purposes, the right to limit the use of sensitive personal information,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state agency that is charged with creating new rules and enforcing the CCPA, and the California Attorney General, who also still maintains some CCPA enforcement powers. Notably, following California’s lead, over a third of other U.S. states enacted privacy laws that contain obligations similar to the CCPA that have taken effect or will take effect in coming years. In addition, comprehensive federal privacy legislation continues to be considered. While these new laws and proposals generally include exemptions for HIPAA-covered data and clinical trial data, they add layers of complexity to compliance in the U.S. market and could increase our compliance costs and adversely affect our business. Compliance with evolving privacy legislation and regulation adds complexity and may require investment in additional resources for compliance programs, thus potentially result in additional costs and expense of resources to maintain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9"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the EU GDPR governs the collection, use, disclosure, transfer, or other processing of personal data. The UK has implemented the EU GDPR as the UK GDPR, which sits alongside the UK Data Protection Act 2018; the UK Data Protection Act 2018 has been amended by the UK Data (Use and Access) Act 2025, which implements certain changes in relation to the UK GDPR and reforms the use of personal and non-personal data (the UK GDPR together with the EU GDPR, the GDPR). The GDPR imposes compliance obligations on controllers (and in more limited cases, on processors), including (among others) granting certain privacy rights to individuals to control how companies collect, use, disclose, retain and otherwise process their personal data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(i) relevant data protection supervisory authorities of personal data breaches without undue delay (and no later than 72 hours) after becoming aware of the personal data breach, unless the personal data breach is unlikely to result in a risk to the data subjects’ rights and freedoms; and (ii) affected individuals, where the personal data breach is likely to result in a high risk to their rights and freedoms, whereas processors are required to notify the controller without undue delay after becoming aware of a personal data breach, and the requirement to provide more detailed notices for clinical trial subjects and investigators. In addition, the EU GDPR prohibits the international transfer of personal data originating in the EEA (including, from clinical trial sites and other third parties (e.g., CROs)) to jurisdictions that the European Commission does not recognize as having ‘adequate’ data protection laws, unless a data transfer mechanism has been put in place or a derogation under the EU GDPR can be relied upon. In certain cases, for example, when transfers are made in reliance on standard contractual clauses (EU SCCs), there is a requirement for companies to carry out a transfer impact assessment (TIA)—which (among other things) assesses laws governing access to personal data in the recipient country and considers whether supplementary measures that provide privacy protections additional to those provided under EU SCCs—will need to be implemented to ensure an ‘essentially equivalent’ level of data protection to that afforded in the EEA.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UK GDPR also imposes similar restrictions on transfers of personal data from the UK to jurisdictions that the UK Government does not consider adequate, including the United States. The UK’s Information Commissioner’s Office published: (i) its own form of EU SCCs, known as the International Data Transfer Agreement; (ii) a “UK addendum” to the EU SCCs which amends the relevant provisions of such clauses to work in a UK context; and (iii) its own version of the TIA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Personal data may be transferred from the UK under the UK-U.S. data bridge through the UK extension to the DPF to organizations self-certified under the UK extension to the DPF.</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the DPF for both the EU and UK may be subject to further legal challenge which could cause the legal requirements for personal data transfers from the EU and the UK to the United States to become uncertain once again. EU and UK data protection authorities have and may again block the use of certain U.S.-based services that involve the transfer of personal data to the United States. In the EU and other markets, potential new rules and restrictions on the flow of data across borders could increase the cost and complexity of doing business in those regions.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invested, and expect to continue to invest, significant time and resources in our DPF certification and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their own legal requirements for cross-border transfers of personal information. These obligations may be interpreted and applied in a manner that is inconsistent from one jurisdiction to another and may conflict with other requirements or our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90"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use artificial intelligence in our business, and challenges with properly managing its use could result in reputational harm, competitive harm, and legal liability, and adversely affect our results of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leverage artificial intelligence (AI) in certain aspects of our operations, including through our proprietary DEL-AI platform, which employs machine learning across all aspects of the discovery process. However, our competitors and other third parties may incorporate AI into their operations and processes more quickly or more successfully than we do, which could impair our ability to compete effectively and adversely affect our results of operations. Additionally, if the output that AI applications assist in producing are or are alleged to be inaccurate, deficient, or biased, our business, financial condition, and results of operations may be adversely affected. Furthermore, the integration of third-party AI models with our operations relies on certain safeguards implemented by the third-party developers of the underlying AI models, including those related to the accuracy, bias, and other variables of the data, and these safeguards may be insufficient. The use of AI applications has resulted in, and may in the future result in, cybersecurity incidents that implicate the data analyzed within such applications. Any such cybersecurity incidents related to our use of AI applications to analyze data could adversely affect our reputation and results of operations. AI also presents emerging ethical issues and if our use of AI becomes controversial, we may experience brand or reputational harm, competitive harm, or legal liability.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Legislation and regulations governing the development and use of AI, including specific AI legislation at the state level relating to AI in the life sciences and healthcare contexts, have been passed or are under consideration in the United States at the state and local level, as well as internationally. As a result, the ability to use AI and machine learning may be constrained or complicated by current or future laws, regulatory or self-regulatory requirements, and further resources may be necessary to build compliance processes to respond to AI law developments. The rapid evolution of AI, including regulation of AI and its various uses, will require significant resources to develop, test and maintain our platforms and AI operations to help us implement AI ethically in order to minimize unintended, harmful impact.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 federal income tax reform and changes in other tax laws could adversely affect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1"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 Further, beginning with our 2025 tax year, the One Big Beautiful Bill Act restored immediate deductibility of domestic expenditures, while foreign expenditures will continue to be capitalized and amortized over 15 years.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may be subject to limitations.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do not expect to become profitable in the near future and may never achieve profitability. As of November 30, 2025, we had federal and state net operating loss (NOL) carryforwards of approximately $323.4 million and $507.7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R&amp;D credit carryovers) to offset its post-change income or post-change income tax may be limited. We have identified two ownership changes since our inception that have triggered a limitation on pre-change NOLs under Sections 382 and 383.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R&amp;D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Future acquisitions, joint ventures, spin outs or strategic alliances or transactions could disrupt our business and harm our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diversion of management time and focus from operating our business to addressing acquisition integration challenges;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coordination of research and development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2"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retention of key employees from the acquired company;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relationships with strategic partners as a result of product acquisitions or strategic positioning resulting from the acquisition;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cultural challenges associated with integrating employees from the acquired company into our organization;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unanticipated write-offs or charges;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litigation or other claims in connection with the acquired company, including claims from terminated employees, customers, former stockholders or other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are subject to other laws and regulations governing our international operations, including regulations administered by the governments of the United States, UK and authorities in the EU, including U.S. export controls, including the U.S. Department of Commerce’s Export Administration Regulations, and U.S. economic sanctions, trade sanctions regulations administered by the U.S. Department of the Treasury’s Office of Foreign Assets Control, including restrictions or prohibitions on the sale or supply of certain products and services to U.S.-embargoed or sanctioned countries, governments, persons and entities, and other applicable export control regulations, customs requirements and currency exchange regulations, which we collectively refer to as Trade Control Laws.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3" name="Frame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environmental, health and safety laws and regulations, we could become subject to fines or penalties or incur costs that could significantly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Unfavorable global economic conditions could adversely affect our business, financial condition, stock price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interest rate fluctuations and inflation, uncertainty with respect to the federal budget and debt ceiling and potential government shutdowns related thereto, as well as the possibility of a recession or further economic downturn, tariffs, trade restrictions, changing U.S. and foreign trade policy, and uncertainty regarding the availability and cost of capital. Moreover, there have been concerns in recent years with respect to the stability of the global banking system. For example, in March 2023, Silicon Valley Bank (SVB), which was one of our banking partners, was closed by the California Department of Financial Protection and Innovation, which appointed the Federal Deposit Insurance Corporation (FDIC) as receiver, and in March 2023, Silvergate Capital Corp. and Signature Bank were similarly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4" name="Frame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exposed to foreign exchange risk.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 portions of our expenses, and may in the future derive revenues, in a variety of currencies. As a result, we may be exposed to foreign currency exchange risk as our results of operations and cash flows are subject to fluctuations in foreign currency exchange rates. If in the future we incur greater portions of our expenses, or derive future revenues, from foreign currencies, fluctuations in currency exchange rates could have an impact on our results as expressed in U.S. dollars. In addition, recent actions taken by the U.S. government may further impact the value of the U.S. dollar relative to other currencies, which may have the result of increasing the portions of our expenses which are realized in other currencies.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current operations are in the San Francisco Bay Area and The Woodlands, Texas, and we or the third parties upon whom we depend may be adversely affected by earthquakes or other natural disasters as to which our business continuity and disaster recovery plans may not be adequate to protect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operations are located in our facilities in the San Francisco Bay Area in California and in The Woodlands, Texas.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Common Stock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Our quarterly results of operations may fluctuate significantly or may fall below the expectations of investors or securities analysts, each of which may cause our stock price to fluctuate or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results of operations to be subject to quarterly fluctuations. Our net loss and other results of operations will be affected by numerous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variations in the level of expense related to the ongoing development of our drug candidates, DEL-AI platform, or future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results of preclinical studies and clinical trials, or the addition or termination of clinical trials or funding support by us or by existing or future collaborators or licensing partners;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intellectual property infringement lawsuit or opposition, interference or cancellation proceeding in which we may become involved;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additions and departures of key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strategic decisions by us or our competitors, such as acquisitions, divestitures, spin-offs, joint ventures, strategic investments or changes in business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5" name="Frame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any of our drug candidates receives regulatory approval, the terms of such approval and market acceptance and demand for such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developments affecting our drug candidates or those of our competitors;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general market and economic conditions, including interest rate fluctuations, inflation, tariffs, trade restrictions, uncertainty with respect to the federal budget and debt ceiling and potential government shutdowns related thereto, instability in the global banking system, volatility in capital and credit markets, and the possibility of a recession or further economic downturn.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stock price may be volatile and you could lose all or part of your investment.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results of preclinical studies and clinical trials of our drug candidates, or those of our competitors or our existing or future collaborators;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or legal developments in the United States and other countries, especially changes in laws or regulations applicable to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competitive products or technologies;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introductions and announcements of new products by us, our collaboration partners, or our competitors, and the timing of these introductions or announcements;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actions taken by regulatory agencies with respect to our drug candidates, clinical trials, manufacturing process or sales and marketing terms;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actual or anticipated variations in our financial results or in those of companies that are perceived to be similar to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our efforts to acquire or in-license additional technologies, products or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developments concerning our current or future collaborations, including but not limited to those with our sources of manufacturing supply and our commercialization partners;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market conditions in the pharmaceutical and biotechnology sectors;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acquisitions, strategic collaborations, joint ventures or capital commitments;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developments or disputes concerning patents or other proprietary rights, including patents, litigation matters and our ability to obtain patent protection for our drug candidates and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or inability to raise additional capital and the terms on which any additional capital is raised;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recruitment or departure of key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the structure of healthcare payment systems;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failure or the failure of our competitors to meet analysts’ projections or guidance that we or our competitors may provide to the market;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fluctuations in the valuation of companies perceived by investors to be comparable to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announcement and expectation of additional financing efforts;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speculation in the press or investment community;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trading volume of our common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sales of our common stock by us or our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6" name="Frame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concentrated ownership of our common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changes in accounting principles;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cybersecurity events;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terrorist acts, acts of war or periods of widespread civil unrest, including the increasingly volatile global economic conditions resulting from regional conflicts around the world;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effects of public health crises, pandemics and epidemics;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natural disasters and other calamities;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general economic, industry and market conditions, including interest rate fluctuations, inflation, tariffs, trade restrictions, uncertainty with respect to the federal budget and debt ceiling and potential government shutdowns related thereto, instability in the global banking system, volatility in capital and credit markets, and the possibility of a recession or further economic downturn.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 sale of a substantial number of shares of our common stock may cause the price of our common stock to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future sale and issuance of equity or of debt securities that are convertible into equity will dilute our share capital.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choose to raise additional capital in the future, depending on market conditions, strategic considerations and operational requirements. For example, in April 2024, we sold an additional 11,916,667 shares of our common stock and pre-funded warrants to purchase an aggregate of 1,500,100 shares of our common stock in a public offering and in October 2025, we sold an additional 24,485,799 shares of our common stock in a registered direct offering. The pre-funded warrants sold in April 2024 are immediately exercisable, have an exercise price of $0.001 and may be exercised at any time after the date of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7" name="Frame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an automatic shelf registration statement on Form S-3 which allows us to offer and sell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which was amended in July 2024, in October 2024, and in March 2026 (as amended, the Third Amended Equity Distribution Agreement), pursuant to which, from time to time, we may offer and sell through Piper Sandler up to $413.65 million of the common stock registered under the shelf registration statement pursuant to one or more “at the market” offerings. From time to time, we have issued and sold shares of common stock pursuant to this agreement and as of the date of this filing, we have $300.0 million of common stock remaining available for sale under the Third Amended Equity Distribution Agreement. Sales of our common stock under the Third Amended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May 31, 2026, we have issued pre-funded warrants to purchase a total of 8,315,020 shares of our common stock, of which 7,577,909 were outstanding as of May 31, 2026.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is no public market for our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Anti-takeover provisions in our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 a classified board of directors so that not all members of our board are elected at one time;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permit only our board of directors to establish the number of directors and fill vacancies on our board;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provide that directors may be removed only “for cause” and only with the approval of two-thirds of our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8" name="Frame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require super-majority voting to amend some provisions in our restated certificate of incorporation and amended and restated bylaws, unless such amendments are approved by two-thirds of our board of directors, in which case stockholders can approve by a simple majority;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authorize the issuance of “blank check” preferred stock that our board could use to implement a stockholder rights plan;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eliminate the ability of our stockholders to call special meetings of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prohibit stockholder action by written consent, which requires all stockholder actions to be taken at a meeting of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prohibit cumulative voting;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restated certificate of incorporation and our amended and restated bylaws contain exclusive forum provisions for certain claims, which could limit our stockholders’ ability to obtain a favorable judicial forum for disputes with us or our directors, officers or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885"/>
                <wp:effectExtent l="0" t="0" r="0" b="0"/>
                <wp:wrapNone/>
                <wp:docPr id="99" name="Frame9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incur significant costs as a result of operating as a public company, and our management is required to devote substantial time to compliance initiatives and corporate governance practices.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Complying with these disclosure obligations or any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Therefore, as a result of being a public company, our management and other personnel are required to devote a substantial amount of time to these compliance initiatives. Moreover, these rules and regulations result in high legal and financial compliance costs and have made some activities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continue to evolve and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effective internal control over financial reporting, our ability to produce accurate and timely financial statements could be impaired, which could harm our results of operations, investors’ views of us and, as a result, the value of our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reporting on our assessment of the effectiveness of our internal control over financial reporting needs to include disclosure of any material weaknesses identified in our internal control over financial reporting. Moreover, based on the market value of our common stock held by non-affiliates as of May 31, 2025, we will continue to be considered a large accelerated filer under SEC rules for the fiscal year ending November 30, 2026, and, as a result, our independent registered public accounting firm will be required to audit the effectiveness of our internal control over financial reporting pursuant to Section 404(b) of the Sarbanes-Oxley Act (Section 404(b)).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were remediated. However, we cannot assure you that the measures we have taken to date, and actions we may take in the future, will prevent or avoid potential future material weaknesses.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100" name="Frame10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Because we do not anticipate paying any cash dividends on our capital stock in the foreseeable future, capital appreciation, if any, will be your sole source of gain.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securities litigation, which is expensive and could divert management attention.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885"/>
                <wp:effectExtent l="0" t="0" r="0" b="0"/>
                <wp:wrapNone/>
                <wp:docPr id="101" name="Frame10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Proceeds from Registered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Purchases of Equity Securities by Issuers and Affiliated Purchasers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Director and Section 16 Officer Rule 10b5-1 Trading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director or Section 16 officer of the Company adopted or terminated a “Rule 10b5-1 trading arrangement” or “non-Rule 10b5-1 trading arrangement,” as each term is defined in Item 408(a) of Regulation S-K, during the three months ended May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885"/>
                <wp:effectExtent l="0" t="0" r="0" b="0"/>
                <wp:wrapNone/>
                <wp:docPr id="102" name="Frame10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65"/>
        <w:gridCol w:w="234"/>
        <w:gridCol w:w="235"/>
        <w:gridCol w:w="109"/>
        <w:gridCol w:w="109"/>
        <w:gridCol w:w="109"/>
        <w:gridCol w:w="1850"/>
        <w:gridCol w:w="1617"/>
        <w:gridCol w:w="1636"/>
        <w:gridCol w:w="180"/>
        <w:gridCol w:w="180"/>
        <w:gridCol w:w="179"/>
        <w:gridCol w:w="264"/>
        <w:gridCol w:w="264"/>
        <w:gridCol w:w="228"/>
        <w:gridCol w:w="222"/>
        <w:gridCol w:w="222"/>
        <w:gridCol w:w="223"/>
        <w:gridCol w:w="332"/>
        <w:gridCol w:w="246"/>
        <w:gridCol w:w="248"/>
        <w:gridCol w:w="364"/>
        <w:gridCol w:w="364"/>
        <w:gridCol w:w="525"/>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or Furnished Herewith</w:t>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9"/>
                  <w:u w:val="single"/>
                </w:rPr>
                <w:t>Amendment No. 3 to the Equity Distribution Agreement, dated March 6, 2026, by and between the Registrant and Piper Sandler &amp; Co.</w:t>
              </w:r>
            </w:hyperlink>
          </w:p>
        </w:tc>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001-39398</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6, 2026</w:t>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531xxex102amendn.htm">
              <w:r>
                <w:rPr>
                  <w:rStyle w:val="InternetLink"/>
                  <w:rFonts w:ascii="Times New Roman;serif" w:hAnsi="Times New Roman;serif"/>
                  <w:b w:val="false"/>
                  <w:color w:val="0000FF"/>
                  <w:sz w:val="19"/>
                  <w:u w:val="single"/>
                </w:rPr>
                <w:t>Seventh Amendment to Collaboration and License Agreement, dated April 8, 2026, by and between the Registrant and Genzyme Corporation</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531x10qxex311.htm">
              <w:r>
                <w:rPr>
                  <w:rStyle w:val="InternetLink"/>
                  <w:rFonts w:ascii="Times New Roman;serif" w:hAnsi="Times New Roman;serif"/>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531x10qxex312.htm">
              <w:r>
                <w:rPr>
                  <w:rStyle w:val="InternetLink"/>
                  <w:rFonts w:ascii="Times New Roman;serif" w:hAnsi="Times New Roman;serif"/>
                  <w:b w:val="false"/>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531x10qxex321.htm">
              <w:r>
                <w:rPr>
                  <w:rStyle w:val="InternetLink"/>
                  <w:rFonts w:ascii="Times New Roman;serif" w:hAnsi="Times New Roman;serif"/>
                  <w:b w:val="false"/>
                  <w:color w:val="0000FF"/>
                  <w:sz w:val="19"/>
                  <w:u w:val="single"/>
                </w:rPr>
                <w:t>Certification of Principal Executive Officer and Principal Financial and Accounting Officer Pursuant to 18 U.S.C. Section 1350, as Adopted Pursuant to Section 906 of the Sarbanes-Oxley Act of 2002</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Instance Document - the Instance Document does not appear in the Interactive Data File because its XBRL tags are embedded within the Inline XBRL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Schema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Calculation Linkbase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Definition Linkbase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Label Linkbase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Presentation Linkbase Document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Cover Page Interactive Data File (formatted as Inline XBRL and included in exhibit 101)</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9"/>
              </w:rPr>
            </w:pPr>
            <w:r>
              <w:rPr>
                <w:rFonts w:ascii="Times New Roman;serif" w:hAnsi="Times New Roman;serif"/>
                <w:b w:val="false"/>
                <w:i/>
                <w:color w:val="000000"/>
                <w:sz w:val="19"/>
              </w:rPr>
              <w:t>Registrant has omitted portions of the exhibit as permitted under Item 601(b)(10) of Regulation S-K.</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9"/>
              </w:rPr>
            </w:pPr>
            <w:r>
              <w:rPr>
                <w:rFonts w:ascii="Times New Roman;serif" w:hAnsi="Times New Roman;serif"/>
                <w:b w:val="false"/>
                <w:i/>
                <w:color w:val="000000"/>
                <w:sz w:val="19"/>
              </w:rPr>
              <w:t>Registrant has omitted certain schedules pursuant to Item 601(a)(5) of Regulation S-K.</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9"/>
              </w:rPr>
            </w:pPr>
            <w:r>
              <w:rPr>
                <w:rFonts w:ascii="Times New Roman;serif" w:hAnsi="Times New Roman;serif"/>
                <w:b w:val="false"/>
                <w:i/>
                <w:color w:val="000000"/>
                <w:sz w:val="19"/>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8e88fa6fbb64cb4a6f1ae40e2cf7659_13">
        <w:r>
          <w:rPr>
            <w:rStyle w:val="InternetLink"/>
            <w:rFonts w:ascii="Times New Roman;serif" w:hAnsi="Times New Roman;serif"/>
            <w:b w:val="false"/>
            <w:color w:val="0000FF"/>
            <w:sz w:val="20"/>
            <w:u w:val="single"/>
          </w:rPr>
          <w:t>Table of Contents</w:t>
        </w:r>
      </w:hyperlink>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881" w:type="dxa"/>
        <w:jc w:val="left"/>
        <w:tblInd w:w="0" w:type="dxa"/>
        <w:tblLayout w:type="fixed"/>
        <w:tblCellMar>
          <w:top w:w="28" w:type="dxa"/>
          <w:left w:w="28" w:type="dxa"/>
          <w:bottom w:w="28" w:type="dxa"/>
          <w:right w:w="28" w:type="dxa"/>
        </w:tblCellMar>
      </w:tblPr>
      <w:tblGrid>
        <w:gridCol w:w="580"/>
        <w:gridCol w:w="511"/>
        <w:gridCol w:w="514"/>
        <w:gridCol w:w="439"/>
        <w:gridCol w:w="439"/>
        <w:gridCol w:w="439"/>
        <w:gridCol w:w="1158"/>
        <w:gridCol w:w="1158"/>
        <w:gridCol w:w="164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NURIX THERAPEUTICS,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9,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9,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H</w:t>
            </w:r>
            <w:r>
              <w:rPr>
                <w:rFonts w:ascii="Times New Roman;serif" w:hAnsi="Times New Roman;serif"/>
                <w:b w:val="false"/>
                <w:color w:val="000000"/>
                <w:sz w:val="16"/>
              </w:rPr>
              <w:t>ANS</w:t>
            </w:r>
            <w:r>
              <w:rPr>
                <w:color w:val="000000"/>
              </w:rPr>
              <w:t xml:space="preserve"> </w:t>
            </w:r>
            <w:r>
              <w:rPr>
                <w:rFonts w:ascii="Times New Roman;serif" w:hAnsi="Times New Roman;serif"/>
                <w:b w:val="false"/>
                <w:color w:val="000000"/>
                <w:sz w:val="16"/>
              </w:rPr>
              <w:t>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885"/>
                <wp:effectExtent l="0" t="0" r="0" b="0"/>
                <wp:wrapNone/>
                <wp:docPr id="104" name="Frame10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CERTAIN CONFIDENTIAL INFORMATION CONTAINED IN THIS DOCUMENT, MARKED BY [*], HAS BEEN OMITTED BECAUSE IT IS NOT MATERIAL AND WOULD LIKELY CAUSE COMPETITIVE HARM TO THE COMPANY IF PUBLICLY DISCLOSED.</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SEVENTH AMENDMENT TO COLLABORATION AND LICENSE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This Seventh Amendment to Collaboration and License Agreement </w:t>
      </w:r>
      <w:r>
        <w:rPr>
          <w:rFonts w:ascii="Times New Roman;serif" w:hAnsi="Times New Roman;serif"/>
          <w:b w:val="false"/>
          <w:color w:val="000000"/>
          <w:sz w:val="24"/>
        </w:rPr>
        <w:t>(this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entered into as of April 6, 2026 (the “</w:t>
      </w:r>
      <w:r>
        <w:rPr>
          <w:rFonts w:ascii="Times New Roman;serif" w:hAnsi="Times New Roman;serif"/>
          <w:b/>
          <w:color w:val="000000"/>
          <w:sz w:val="24"/>
        </w:rPr>
        <w:t>Amendment Date</w:t>
      </w:r>
      <w:r>
        <w:rPr>
          <w:color w:val="000000"/>
        </w:rPr>
        <w:t>”</w:t>
      </w:r>
      <w:r>
        <w:rPr>
          <w:rFonts w:ascii="Times New Roman;serif" w:hAnsi="Times New Roman;serif"/>
          <w:b w:val="false"/>
          <w:color w:val="000000"/>
          <w:sz w:val="24"/>
        </w:rPr>
        <w:t>) by and between Genzyme Corporation, a Massachusetts corporation (“</w:t>
      </w:r>
      <w:r>
        <w:rPr>
          <w:rFonts w:ascii="Times New Roman;serif" w:hAnsi="Times New Roman;serif"/>
          <w:b/>
          <w:color w:val="000000"/>
          <w:sz w:val="24"/>
        </w:rPr>
        <w:t>Sanofi</w:t>
      </w:r>
      <w:r>
        <w:rPr>
          <w:color w:val="000000"/>
        </w:rPr>
        <w:t>”</w:t>
      </w:r>
      <w:r>
        <w:rPr>
          <w:rFonts w:ascii="Times New Roman;serif" w:hAnsi="Times New Roman;serif"/>
          <w:b w:val="false"/>
          <w:color w:val="000000"/>
          <w:sz w:val="24"/>
        </w:rPr>
        <w:t>), and Nurix Therapeutics, Inc., a Delaware corporation (“</w:t>
      </w:r>
      <w:r>
        <w:rPr>
          <w:rFonts w:ascii="Times New Roman;serif" w:hAnsi="Times New Roman;serif"/>
          <w:b/>
          <w:color w:val="000000"/>
          <w:sz w:val="24"/>
        </w:rPr>
        <w:t>Nurix</w:t>
      </w:r>
      <w:r>
        <w:rPr>
          <w:color w:val="000000"/>
        </w:rPr>
        <w:t>”</w:t>
      </w:r>
      <w:r>
        <w:rPr>
          <w:rFonts w:ascii="Times New Roman;serif" w:hAnsi="Times New Roman;serif"/>
          <w:b w:val="false"/>
          <w:color w:val="000000"/>
          <w:sz w:val="24"/>
        </w:rPr>
        <w:t>). Sanofi and Nurix are each referred to herein by name or, individually,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or, collectively, as the “</w:t>
      </w:r>
      <w:r>
        <w:rPr>
          <w:rFonts w:ascii="Times New Roman;serif" w:hAnsi="Times New Roman;serif"/>
          <w:b/>
          <w:color w:val="000000"/>
          <w:sz w:val="24"/>
        </w:rPr>
        <w:t>Parties</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the Parties entered into that certain Collaboration and License Agreement (as amended by the Prior Amendments defined below,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December 19, 2019, that certain First Amendment to Collaboration and License Agreement, dated January 6, 2021 (the “</w:t>
      </w:r>
      <w:r>
        <w:rPr>
          <w:rFonts w:ascii="Times New Roman;serif" w:hAnsi="Times New Roman;serif"/>
          <w:b/>
          <w:color w:val="000000"/>
          <w:sz w:val="24"/>
        </w:rPr>
        <w:t>First Amendment</w:t>
      </w:r>
      <w:r>
        <w:rPr>
          <w:color w:val="000000"/>
        </w:rPr>
        <w:t>”</w:t>
      </w:r>
      <w:r>
        <w:rPr>
          <w:rFonts w:ascii="Times New Roman;serif" w:hAnsi="Times New Roman;serif"/>
          <w:b w:val="false"/>
          <w:color w:val="000000"/>
          <w:sz w:val="24"/>
        </w:rPr>
        <w:t>), that certain Second Amendment to Collaboration and License Agreement, dated December 16, 2021 (the “</w:t>
      </w:r>
      <w:r>
        <w:rPr>
          <w:rFonts w:ascii="Times New Roman;serif" w:hAnsi="Times New Roman;serif"/>
          <w:b/>
          <w:color w:val="000000"/>
          <w:sz w:val="24"/>
        </w:rPr>
        <w:t>Second Amendment</w:t>
      </w:r>
      <w:r>
        <w:rPr>
          <w:color w:val="000000"/>
        </w:rPr>
        <w:t>”</w:t>
      </w:r>
      <w:r>
        <w:rPr>
          <w:rFonts w:ascii="Times New Roman;serif" w:hAnsi="Times New Roman;serif"/>
          <w:b w:val="false"/>
          <w:color w:val="000000"/>
          <w:sz w:val="24"/>
        </w:rPr>
        <w:t>), that certain Third Amendment to Collaboration and License Agreement, dated July 7, 2022 (the “</w:t>
      </w:r>
      <w:r>
        <w:rPr>
          <w:rFonts w:ascii="Times New Roman;serif" w:hAnsi="Times New Roman;serif"/>
          <w:b/>
          <w:color w:val="000000"/>
          <w:sz w:val="24"/>
        </w:rPr>
        <w:t>Third Amendment</w:t>
      </w:r>
      <w:r>
        <w:rPr>
          <w:color w:val="000000"/>
        </w:rPr>
        <w:t>”</w:t>
      </w:r>
      <w:r>
        <w:rPr>
          <w:rFonts w:ascii="Times New Roman;serif" w:hAnsi="Times New Roman;serif"/>
          <w:b w:val="false"/>
          <w:color w:val="000000"/>
          <w:sz w:val="24"/>
        </w:rPr>
        <w:t>), that certain Fourth Amendment to Collaboration and License Agreement, dated August 11, 2022 (the “</w:t>
      </w:r>
      <w:r>
        <w:rPr>
          <w:rFonts w:ascii="Times New Roman;serif" w:hAnsi="Times New Roman;serif"/>
          <w:b/>
          <w:color w:val="000000"/>
          <w:sz w:val="24"/>
        </w:rPr>
        <w:t>Fourth Amendment</w:t>
      </w:r>
      <w:r>
        <w:rPr>
          <w:color w:val="000000"/>
        </w:rPr>
        <w:t>”</w:t>
      </w:r>
      <w:r>
        <w:rPr>
          <w:rFonts w:ascii="Times New Roman;serif" w:hAnsi="Times New Roman;serif"/>
          <w:b w:val="false"/>
          <w:color w:val="000000"/>
          <w:sz w:val="24"/>
        </w:rPr>
        <w:t>), that certain Fifth Amendment to Collaboration and License Agreement, dated November 3, 2023 (the “</w:t>
      </w:r>
      <w:r>
        <w:rPr>
          <w:rFonts w:ascii="Times New Roman;serif" w:hAnsi="Times New Roman;serif"/>
          <w:b/>
          <w:color w:val="000000"/>
          <w:sz w:val="24"/>
        </w:rPr>
        <w:t>Fifth Amendment</w:t>
      </w:r>
      <w:r>
        <w:rPr>
          <w:color w:val="000000"/>
        </w:rPr>
        <w:t>”</w:t>
      </w:r>
      <w:r>
        <w:rPr>
          <w:rFonts w:ascii="Times New Roman;serif" w:hAnsi="Times New Roman;serif"/>
          <w:b w:val="false"/>
          <w:color w:val="000000"/>
          <w:sz w:val="24"/>
        </w:rPr>
        <w:t>), and that certain Sixth Amendment to Collaboration and License Agreement, dated March 6, 2024 (the “</w:t>
      </w:r>
      <w:r>
        <w:rPr>
          <w:rFonts w:ascii="Times New Roman;serif" w:hAnsi="Times New Roman;serif"/>
          <w:b/>
          <w:color w:val="000000"/>
          <w:sz w:val="24"/>
        </w:rPr>
        <w:t>Sixth Amendment</w:t>
      </w:r>
      <w:r>
        <w:rPr>
          <w:color w:val="000000"/>
        </w:rPr>
        <w:t xml:space="preserve">” </w:t>
      </w:r>
      <w:r>
        <w:rPr>
          <w:rFonts w:ascii="Times New Roman;serif" w:hAnsi="Times New Roman;serif"/>
          <w:b w:val="false"/>
          <w:color w:val="000000"/>
          <w:sz w:val="24"/>
        </w:rPr>
        <w:t>and, together with the First Amendment, the Second Amendment, the Third Amendment, the Fourth Amendment, and the Fifth Amendment, the “</w:t>
      </w:r>
      <w:r>
        <w:rPr>
          <w:rFonts w:ascii="Times New Roman;serif" w:hAnsi="Times New Roman;serif"/>
          <w:b/>
          <w:color w:val="000000"/>
          <w:sz w:val="24"/>
        </w:rPr>
        <w:t>Prior</w:t>
      </w:r>
      <w:r>
        <w:rPr>
          <w:color w:val="000000"/>
        </w:rPr>
        <w:t xml:space="preserve"> </w:t>
      </w:r>
      <w:r>
        <w:rPr>
          <w:rFonts w:ascii="Times New Roman;serif" w:hAnsi="Times New Roman;serif"/>
          <w:b/>
          <w:color w:val="000000"/>
          <w:sz w:val="24"/>
        </w:rPr>
        <w:t>Amendments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License Term Extension occurred for the Collaboration Target [*] on [*], and for the Collaboration Target STAT6 on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the Parties wish to enter into this Amendment to enable Sanofi to continue to conduct Research to make new compounds Directed To STAT6 and [*], in each case after the expiration of the Collaboration Target Research Term applicable to STAT6 or [*] and during the term of the Collaboration License applicable to STAT6 or [*], subject to the terms and conditions further described herein;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the Parties wish to further amend the Agreement to clarify the Parties’ rights and obligations after the Agreement or a Collaboration Target is terminated.</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foregoing premises and the mutual promises, covenants and conditions contained in this Amendment, in accordance with Section 18.5 of the Agreement, the Parties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rPr>
        <w:t>Defined Terms</w:t>
      </w:r>
      <w:r>
        <w:rPr>
          <w:rFonts w:ascii="Times New Roman;serif" w:hAnsi="Times New Roman;serif"/>
          <w:b w:val="false"/>
          <w:color w:val="000000"/>
          <w:sz w:val="24"/>
        </w:rPr>
        <w:t xml:space="preserve">. As used in this Amendment, capitalized terms, whether used in the singular or plural form, that are not defined herein shall have the meanings ascribed to such terms in the Agreement. </w:t>
      </w:r>
    </w:p>
    <w:p>
      <w:pPr>
        <w:pStyle w:val="TextBody"/>
        <w:bidi w:val="0"/>
        <w:spacing w:lineRule="auto" w:line="240"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rPr>
        <w:t>Amendments.</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Section 1.127 of the Agreement is hereby deleted in its entirety and replaced with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1.127 “</w:t>
      </w:r>
      <w:r>
        <w:rPr>
          <w:rFonts w:ascii="Times New Roman;serif" w:hAnsi="Times New Roman;serif"/>
          <w:b/>
          <w:color w:val="000000"/>
          <w:sz w:val="24"/>
        </w:rPr>
        <w:t>Licensed Product</w:t>
      </w:r>
      <w:r>
        <w:rPr>
          <w:color w:val="000000"/>
        </w:rPr>
        <w:t xml:space="preserve">” </w:t>
      </w:r>
      <w:r>
        <w:rPr>
          <w:rFonts w:ascii="Times New Roman;serif" w:hAnsi="Times New Roman;serif"/>
          <w:b w:val="false"/>
          <w:color w:val="000000"/>
          <w:sz w:val="24"/>
        </w:rPr>
        <w:t>means any pharmaceutical preparation in final form containing (a) a CTM (including any Development Candidate) that has relevant pharmacological activity and is Directed To a Collaboration Target, (b) a Selected Target Binder or Collaboration [*] that is Directed To a Collaboration Target and itself has relevant pharmacological activity (each, a “</w:t>
      </w:r>
      <w:r>
        <w:rPr>
          <w:rFonts w:ascii="Times New Roman;serif" w:hAnsi="Times New Roman;serif"/>
          <w:b/>
          <w:color w:val="000000"/>
          <w:sz w:val="24"/>
        </w:rPr>
        <w:t>Standalone Target Binder</w:t>
      </w:r>
      <w:r>
        <w:rPr>
          <w:color w:val="000000"/>
        </w:rPr>
        <w:t>”</w:t>
      </w:r>
      <w:r>
        <w:rPr>
          <w:rFonts w:ascii="Times New Roman;serif" w:hAnsi="Times New Roman;serif"/>
          <w:b w:val="false"/>
          <w:color w:val="000000"/>
          <w:sz w:val="24"/>
        </w:rPr>
        <w:t xml:space="preserve">), in each case of (a) and (b), that was identified (except for [*]), synthesized and Researched by or on behalf of Nurix or its Affiliates and/or, solely in the case of Collaboration [*], Sanofi or its Affiliates, in each case pursuant to a Research Plan, prior to the expiration of the applicable Collaboration Target Research Term, or (c) a Research Plan Completion Licensed Compound, in each case of (a), (b), and (c), whether alone or as part of a Combination Product, and in all presentations and formulations including manner of delivery and dosage. </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 xml:space="preserve">Each of Section 1.151 and Section 1.152 of the Agreement is hereby deleted and replaced with the following sections: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1.151 “</w:t>
      </w:r>
      <w:r>
        <w:rPr>
          <w:rFonts w:ascii="Times New Roman;serif" w:hAnsi="Times New Roman;serif"/>
          <w:b/>
          <w:color w:val="000000"/>
          <w:sz w:val="24"/>
        </w:rPr>
        <w:t>Nurix Know-How</w:t>
      </w:r>
      <w:r>
        <w:rPr>
          <w:color w:val="000000"/>
        </w:rPr>
        <w:t xml:space="preserve">” </w:t>
      </w:r>
      <w:r>
        <w:rPr>
          <w:rFonts w:ascii="Times New Roman;serif" w:hAnsi="Times New Roman;serif"/>
          <w:b w:val="false"/>
          <w:color w:val="000000"/>
          <w:sz w:val="24"/>
        </w:rPr>
        <w:t>means any and all Know-How Controlled by Nurix or any of its Affiliates as of the Execution Date or thereafter during the Term which is necessary or useful for the Research, Development, Manufacture or Commercialization of one or more CTMs, Target Binders, Standalone Target Binders, Development Candidates, Research Plan Completion Licensed Compounds or Licensed Products in the Field in the Territory.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1.152 “</w:t>
      </w:r>
      <w:r>
        <w:rPr>
          <w:rFonts w:ascii="Times New Roman;serif" w:hAnsi="Times New Roman;serif"/>
          <w:b/>
          <w:color w:val="000000"/>
          <w:sz w:val="24"/>
        </w:rPr>
        <w:t>Nurix Patent</w:t>
      </w:r>
      <w:r>
        <w:rPr>
          <w:color w:val="000000"/>
        </w:rPr>
        <w:t xml:space="preserve">” </w:t>
      </w:r>
      <w:r>
        <w:rPr>
          <w:rFonts w:ascii="Times New Roman;serif" w:hAnsi="Times New Roman;serif"/>
          <w:b w:val="false"/>
          <w:color w:val="000000"/>
          <w:sz w:val="24"/>
        </w:rPr>
        <w:t>means any Patent Controlled by Nurix or any of its Affiliates as of the Execution Date or thereafter during the Term that is used or believed necessary for the Research, Development, Manufacture or Commercialization of one or more CTMs, Target Binders, Standalone Target Binders, Development Candidates, Research Plan Completion Licensed Compounds or Licensed Products in the Field in the Territory.</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Section 1.239 of the Agreement is hereby deleted in its entirety and replaced with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1.239 “</w:t>
      </w:r>
      <w:r>
        <w:rPr>
          <w:rFonts w:ascii="Times New Roman;serif" w:hAnsi="Times New Roman;serif"/>
          <w:b/>
          <w:color w:val="000000"/>
          <w:sz w:val="24"/>
        </w:rPr>
        <w:t>Valid Claim</w:t>
      </w:r>
      <w:r>
        <w:rPr>
          <w:color w:val="000000"/>
        </w:rPr>
        <w:t xml:space="preserve">” </w:t>
      </w:r>
      <w:r>
        <w:rPr>
          <w:rFonts w:ascii="Times New Roman;serif" w:hAnsi="Times New Roman;serif"/>
          <w:b w:val="false"/>
          <w:color w:val="000000"/>
          <w:sz w:val="24"/>
        </w:rPr>
        <w:t>means any [*], in an issued and unexpired Patent within (a) the Foreground IP that is [*], or (b) the Foreground IP that is [*], and in each case (of (a) and (b)) that is [*], which issued Patent has not been held unenforceable, unpatentable or invalid by a decision of a court or other governmental agency of competent jurisdiction, and which has not been admitted to be invalid or unenforceable through abandonment, reissue, disclaimer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6"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(f)</w:t>
      </w:r>
      <w:r>
        <w:rPr>
          <w:rFonts w:ascii="Times New Roman;serif" w:hAnsi="Times New Roman;serif"/>
          <w:b w:val="false"/>
          <w:color w:val="000000"/>
          <w:sz w:val="24"/>
        </w:rPr>
        <w:t>Section 1.245 of the Agreement is hereby deleted in its entirety and replaced with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1.245    “</w:t>
      </w:r>
      <w:r>
        <w:rPr>
          <w:rFonts w:ascii="Times New Roman;serif" w:hAnsi="Times New Roman;serif"/>
          <w:b/>
          <w:color w:val="000000"/>
          <w:sz w:val="24"/>
        </w:rPr>
        <w:t>STAT6 Sanofi Background IP</w:t>
      </w:r>
      <w:r>
        <w:rPr>
          <w:color w:val="000000"/>
        </w:rPr>
        <w:t xml:space="preserve">” </w:t>
      </w:r>
      <w:r>
        <w:rPr>
          <w:rFonts w:ascii="Times New Roman;serif" w:hAnsi="Times New Roman;serif"/>
          <w:b w:val="false"/>
          <w:color w:val="000000"/>
          <w:sz w:val="24"/>
        </w:rPr>
        <w:t xml:space="preserve">means Background IP Controlled by Sanofi consisting solely of: (a) Patents covering inventions that (i) were conceived or reduced to practice on or before [*] for [*] (even if such Patents were applied for or issued after such date), (ii) are [*] into a [*] or a [*] pursuant to Section 2.9.1 (Information Sharing), and (iii) [*], pursuant to Section 17.7.3(c); and (b) Know-How that (i) was in existence on or before [*] for the [*], (ii) with respect to a [*], and (iii) [*]. The term “STAT6 Sanofi Background IP” shall expressly exclude (A) [*], (B) [*], and (C) [*], and (D) [*]. For clarity, the foregoing (D) expressly excludes [*]. </w:t>
      </w:r>
    </w:p>
    <w:p>
      <w:pPr>
        <w:pStyle w:val="TextBody"/>
        <w:bidi w:val="0"/>
        <w:spacing w:lineRule="auto" w:line="240" w:before="0" w:after="240"/>
        <w:ind w:left="0" w:right="0" w:firstLine="1440"/>
        <w:jc w:val="both"/>
        <w:rPr/>
      </w:pPr>
      <w:r>
        <w:rPr>
          <w:rFonts w:ascii="Times New Roman;serif" w:hAnsi="Times New Roman;serif"/>
          <w:b/>
          <w:color w:val="000000"/>
          <w:sz w:val="24"/>
        </w:rPr>
        <w:t>(h)</w:t>
      </w:r>
      <w:r>
        <w:rPr>
          <w:rFonts w:ascii="Times New Roman;serif" w:hAnsi="Times New Roman;serif"/>
          <w:b w:val="false"/>
          <w:color w:val="000000"/>
          <w:sz w:val="24"/>
        </w:rPr>
        <w:t>Section 1.249 of the Agreement is hereby deleted in its entirety and replaced with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1.249    “[*]</w:t>
      </w:r>
      <w:r>
        <w:rPr>
          <w:color w:val="000000"/>
        </w:rPr>
        <w:t xml:space="preserve"> </w:t>
      </w:r>
      <w:r>
        <w:rPr>
          <w:rFonts w:ascii="Times New Roman;serif" w:hAnsi="Times New Roman;serif"/>
          <w:b/>
          <w:color w:val="000000"/>
          <w:sz w:val="24"/>
        </w:rPr>
        <w:t>Sanofi Background IP</w:t>
      </w:r>
      <w:r>
        <w:rPr>
          <w:color w:val="000000"/>
        </w:rPr>
        <w:t xml:space="preserve">” </w:t>
      </w:r>
      <w:r>
        <w:rPr>
          <w:rFonts w:ascii="Times New Roman;serif" w:hAnsi="Times New Roman;serif"/>
          <w:b w:val="false"/>
          <w:color w:val="000000"/>
          <w:sz w:val="24"/>
        </w:rPr>
        <w:t xml:space="preserve">means Background IP Controlled by Sanofi consisting solely of: (a) Patents covering inventions that (i) were conceived or reduced to practice on or before [*] for the [*] (even if such Patents were applied for or issued after such date), (ii) are [*] into a [*] or a [*] pursuant to Section 2.9.1 (Information Sharing), and (iii) [*], pursuant to Section 17.7.3(c); and (b) Know-How that (i) was in existence on or before [*], (ii) with respect to [*], and (iii) [*]. The term “[*] Sanofi Background IP” shall exclude (A) [*], (B) [*], and (C) [*], and (D) [*]. For clarity, the foregoing (D) expressly excludes [*]. </w:t>
      </w:r>
    </w:p>
    <w:p>
      <w:pPr>
        <w:pStyle w:val="TextBody"/>
        <w:bidi w:val="0"/>
        <w:spacing w:lineRule="auto" w:line="240" w:before="0" w:after="240"/>
        <w:ind w:left="0" w:right="0" w:firstLine="1440"/>
        <w:jc w:val="both"/>
        <w:rPr/>
      </w:pPr>
      <w:r>
        <w:rPr>
          <w:rFonts w:ascii="Times New Roman;serif" w:hAnsi="Times New Roman;serif"/>
          <w:b/>
          <w:color w:val="000000"/>
          <w:sz w:val="24"/>
        </w:rPr>
        <w:t>(j)</w:t>
      </w:r>
      <w:r>
        <w:rPr>
          <w:rFonts w:ascii="Times New Roman;serif" w:hAnsi="Times New Roman;serif"/>
          <w:b w:val="false"/>
          <w:color w:val="000000"/>
          <w:sz w:val="24"/>
        </w:rPr>
        <w:t>A new Section 1.252 is hereby added to the Agreement which shall provide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1.252    “</w:t>
      </w:r>
      <w:r>
        <w:rPr>
          <w:rFonts w:ascii="Times New Roman;serif" w:hAnsi="Times New Roman;serif"/>
          <w:b/>
          <w:color w:val="000000"/>
          <w:sz w:val="24"/>
        </w:rPr>
        <w:t>Research Plan Completion</w:t>
      </w:r>
      <w:r>
        <w:rPr>
          <w:color w:val="000000"/>
        </w:rPr>
        <w:t xml:space="preserve"> </w:t>
      </w:r>
      <w:r>
        <w:rPr>
          <w:rFonts w:ascii="Times New Roman;serif" w:hAnsi="Times New Roman;serif"/>
          <w:b/>
          <w:color w:val="000000"/>
          <w:sz w:val="24"/>
        </w:rPr>
        <w:t>Licensed Compounds</w:t>
      </w:r>
      <w:r>
        <w:rPr>
          <w:color w:val="000000"/>
        </w:rPr>
        <w:t xml:space="preserve">” </w:t>
      </w:r>
      <w:r>
        <w:rPr>
          <w:rFonts w:ascii="Times New Roman;serif" w:hAnsi="Times New Roman;serif"/>
          <w:b w:val="false"/>
          <w:color w:val="000000"/>
          <w:sz w:val="24"/>
        </w:rPr>
        <w:t>means all Research Plan Completion STAT6 Compounds and all Research Plan Completion [*] Compounds</w:t>
      </w:r>
    </w:p>
    <w:p>
      <w:pPr>
        <w:pStyle w:val="TextBody"/>
        <w:bidi w:val="0"/>
        <w:spacing w:lineRule="auto" w:line="240" w:before="0" w:after="240"/>
        <w:ind w:left="0" w:right="0" w:firstLine="1440"/>
        <w:jc w:val="both"/>
        <w:rPr/>
      </w:pPr>
      <w:r>
        <w:rPr>
          <w:rFonts w:ascii="Times New Roman;serif" w:hAnsi="Times New Roman;serif"/>
          <w:b/>
          <w:color w:val="000000"/>
          <w:sz w:val="24"/>
        </w:rPr>
        <w:t>(l)</w:t>
      </w:r>
      <w:r>
        <w:rPr>
          <w:rFonts w:ascii="Times New Roman;serif" w:hAnsi="Times New Roman;serif"/>
          <w:b w:val="false"/>
          <w:color w:val="000000"/>
          <w:sz w:val="24"/>
        </w:rPr>
        <w:t>A new Section 1.253 is hereby added to the Agreement which shall provide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1.253    “</w:t>
      </w:r>
      <w:r>
        <w:rPr>
          <w:rFonts w:ascii="Times New Roman;serif" w:hAnsi="Times New Roman;serif"/>
          <w:b/>
          <w:color w:val="000000"/>
          <w:sz w:val="24"/>
        </w:rPr>
        <w:t>Research Plan Completion</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Compound</w:t>
      </w:r>
      <w:r>
        <w:rPr>
          <w:color w:val="000000"/>
        </w:rPr>
        <w:t xml:space="preserve">” </w:t>
      </w:r>
      <w:r>
        <w:rPr>
          <w:rFonts w:ascii="Times New Roman;serif" w:hAnsi="Times New Roman;serif"/>
          <w:b w:val="false"/>
          <w:color w:val="000000"/>
          <w:sz w:val="24"/>
        </w:rPr>
        <w:t xml:space="preserve">means each small molecule that is Researched by or on behalf of Sanofi or its Affiliates and is (a) Directed To and Modulates [*] and (b)(i) discovered or derived from a DEL screen for [*] (without corresponding deoxyribonucleic acid tag), (ii) is discovered or derived using Nurix Foreground IP or Joint Foreground IP, or (iii) otherwise Researched by or on behalf of Sanofi or its Affiliates using Confidential Information owned by Nurix or jointly owned by Nurix and Sanofi that is reduced to writing and delivered to or otherwise made available to Sanofi through email communication, a virtual data room, or other means with reasonable record retention and/or tracing capability; in each case of (a) and (b), after the expiration of the Research Term with respect to the Additional Collaboration Target [*] and during the term of the Collaboration License applicable to the Additional Collaboration Target [*].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(n)</w:t>
      </w:r>
      <w:r>
        <w:rPr>
          <w:rFonts w:ascii="Times New Roman;serif" w:hAnsi="Times New Roman;serif"/>
          <w:b w:val="false"/>
          <w:color w:val="000000"/>
          <w:sz w:val="24"/>
        </w:rPr>
        <w:t>A new Section 1.254 is hereby added to the Agreement which shall provide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1.254    “</w:t>
      </w:r>
      <w:r>
        <w:rPr>
          <w:rFonts w:ascii="Times New Roman;serif" w:hAnsi="Times New Roman;serif"/>
          <w:b/>
          <w:color w:val="000000"/>
          <w:sz w:val="24"/>
        </w:rPr>
        <w:t>Research Plan Completion</w:t>
      </w:r>
      <w:r>
        <w:rPr>
          <w:color w:val="000000"/>
        </w:rPr>
        <w:t xml:space="preserve"> </w:t>
      </w:r>
      <w:r>
        <w:rPr>
          <w:rFonts w:ascii="Times New Roman;serif" w:hAnsi="Times New Roman;serif"/>
          <w:b/>
          <w:color w:val="000000"/>
          <w:sz w:val="24"/>
        </w:rPr>
        <w:t>STAT6 Compound</w:t>
      </w:r>
      <w:r>
        <w:rPr>
          <w:color w:val="000000"/>
        </w:rPr>
        <w:t xml:space="preserve">” </w:t>
      </w:r>
      <w:r>
        <w:rPr>
          <w:rFonts w:ascii="Times New Roman;serif" w:hAnsi="Times New Roman;serif"/>
          <w:b w:val="false"/>
          <w:color w:val="000000"/>
          <w:sz w:val="24"/>
        </w:rPr>
        <w:t>means any small molecule that is Researched by or on behalf of Sanofi or its Affiliates and is (a) Directed To and Modulates STAT6 and (b)(i) discovered or derived from a DEL screen for STAT6 (without corresponding deoxyribonucleic acid tag), (ii) is discovered or derived using Nurix Foreground IP or Joint Foreground IP, or (iii) otherwise Researched by or on behalf of Sanofi or its Affiliates using Confidential Information owned by Nurix or jointly owned by Nurix and Sanofi that is reduced to writing and delivered to or otherwise made available to Sanofi through email communication, a virtual data room, or other means with reasonable record retention and/or tracing capability; in each case of (a) and (b), after the expiration of the Research Term with respect to the Initial Collaboration Target STAT6 and during the term of the Collaboration License applicable to the Initial Collaboration Target STAT6.</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4"/>
        </w:rPr>
        <w:t>(p)</w:t>
      </w:r>
      <w:r>
        <w:rPr>
          <w:rFonts w:ascii="Times New Roman;serif" w:hAnsi="Times New Roman;serif"/>
          <w:b w:val="false"/>
          <w:color w:val="000000"/>
          <w:sz w:val="24"/>
        </w:rPr>
        <w:t>Section 2.7.1 of the Agreement is hereby deleted in its entirety and replaced with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2.7.1    </w:t>
      </w:r>
      <w:r>
        <w:rPr>
          <w:rFonts w:ascii="Times New Roman;serif" w:hAnsi="Times New Roman;serif"/>
          <w:b w:val="false"/>
          <w:color w:val="000000"/>
          <w:sz w:val="24"/>
          <w:u w:val="single"/>
        </w:rPr>
        <w:t>Research Term</w:t>
      </w:r>
      <w:r>
        <w:rPr>
          <w:rFonts w:ascii="Times New Roman;serif" w:hAnsi="Times New Roman;serif"/>
          <w:b w:val="false"/>
          <w:color w:val="000000"/>
          <w:sz w:val="24"/>
        </w:rPr>
        <w:t>. The Research activities assigned to Nurix hereunder will commence, on a Research Program-by-Research Program basis, on the first date of the Collaboration Target Research Term for such Research Program and shall end upon the expiration of the Research Term. For clarity, solely with respect to the Collaboration Targets STAT6 and [*], after the expiration of the applicable Research Term and during the applicable term of the Collaboration License for such Collaboration Target, Sanofi may continue to conduct Research activities to identify other new compounds that are Directed to STAT6 and [*] in accordance with the terms and conditions hereunder.</w:t>
      </w:r>
    </w:p>
    <w:p>
      <w:pPr>
        <w:pStyle w:val="TextBody"/>
        <w:bidi w:val="0"/>
        <w:spacing w:lineRule="auto" w:line="240" w:before="0" w:after="240"/>
        <w:ind w:left="0" w:right="0" w:firstLine="1440"/>
        <w:jc w:val="both"/>
        <w:rPr/>
      </w:pPr>
      <w:r>
        <w:rPr>
          <w:rFonts w:ascii="Times New Roman;serif" w:hAnsi="Times New Roman;serif"/>
          <w:b/>
          <w:color w:val="000000"/>
          <w:sz w:val="24"/>
        </w:rPr>
        <w:t>(r)</w:t>
      </w:r>
      <w:r>
        <w:rPr>
          <w:rFonts w:ascii="Times New Roman;serif" w:hAnsi="Times New Roman;serif"/>
          <w:b w:val="false"/>
          <w:color w:val="000000"/>
          <w:sz w:val="24"/>
        </w:rPr>
        <w:t>Section 2.9.1 of the Agreement is hereby deleted in its entirety and replaced with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2.9.1    </w:t>
      </w:r>
      <w:r>
        <w:rPr>
          <w:rFonts w:ascii="Times New Roman;serif" w:hAnsi="Times New Roman;serif"/>
          <w:b w:val="false"/>
          <w:color w:val="000000"/>
          <w:sz w:val="24"/>
          <w:u w:val="single"/>
        </w:rPr>
        <w:t>Information Sharing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 xml:space="preserve">During the applicable Collaboration Target Research Term at each meeting of the JRC or as otherwise agreed by the Parties, the JRC shall review written reports or presentations regarding each Party’s activities (as applicable) with respect to the Research of respective CTMs, Target Binders, Development Candidates and Licensed Products. Each report or presentation under this Section 2.9.1 (Information Sharing) will cover such activities since the previous JRC meeting, including a summary of results, information, chemical structures and data with respect to such Target Binders, CTMs, Development Candidates and Licensed Products. Upon request by the JRC or by the other Party, a Party will provide the JRC with such other information and such additional access to records with respect to Target Binders, CTMs, Development Candidates and Licensed Products as the JRC or such other Party may reasonably request for the conduct or evaluation of the respective Research Programs, including the underlying information used to create such summaries, such as data listings, data sets and programs used for the analyses collected by a Party in the course of conducting its activities with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respect to the respective Target Binders, CTMs, Development Candidates and Licensed Products.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rPr>
        <w:t xml:space="preserve">With respect to the Initial Collaboration Target STAT6 and the Additional Collaboration Target [*], after the end of their respective Collaboration Target Research Terms and until Sanofi’s delivery of the respective Profit/Loss Share Data Package, Sanofi shall provide to Nurix (i) [*] in accordance with Schedule 2.9.1 attached hereto, and (ii) [*]. For updates contemplated by the foregoing clause (b)(ii), each Party shall appoint a primary point of contact promptly after the Amendment Date. For clarity, nothing in this Section 2.9.1 will modify Parties’ rights and obligations under Article 14 (Confidentiality). Further for the avoidance of doubt, Parties acknowledge that information provided in accordance with Schedule 2.9.1 comprises sensitive technical information and may not be publicly disclosed without Sanofi’s prior written consent. </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4"/>
        </w:rPr>
        <w:t>(v)</w:t>
      </w:r>
      <w:r>
        <w:rPr>
          <w:rFonts w:ascii="Times New Roman;serif" w:hAnsi="Times New Roman;serif"/>
          <w:b w:val="false"/>
          <w:color w:val="000000"/>
          <w:sz w:val="24"/>
        </w:rPr>
        <w:t>Section 2.10.1 (Target Exclusivity) of the Agreement is hereby deleted in its entirety and replaced with the following: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(w)</w:t>
      </w:r>
      <w:r>
        <w:rPr>
          <w:rFonts w:ascii="Times New Roman;serif" w:hAnsi="Times New Roman;serif"/>
          <w:b w:val="false"/>
          <w:color w:val="000000"/>
          <w:sz w:val="24"/>
          <w:u w:val="single"/>
        </w:rPr>
        <w:t>2.10. 1 Target Exclusivity</w:t>
      </w:r>
      <w:r>
        <w:rPr>
          <w:rFonts w:ascii="Times New Roman;serif" w:hAnsi="Times New Roman;serif"/>
          <w:b w:val="false"/>
          <w:color w:val="000000"/>
          <w:sz w:val="24"/>
        </w:rPr>
        <w:t>. Nurix will not conduct, and will cause its Affiliates to not conduct, by itself or themselves, or in collaboration with or on behalf of any Third Party, any Research, Development, Manufacture or Commercialization activities with respect to (a) any Collaboration Target for the period of time [*] applicable to such Collaboration Target, including such activities with respect to any compound Directed To such Collaboration Target alone or together with any other Target(s), (b) any Replaced Collaboration Target, any Collaboration Target terminated by Sanofi pursuant to ARTICLE 17 (Term and Termination), or any other Collaboration Target for which a License Term Extension does not occur within the License Extension Fee Timeframe, for a period of [*] after the date Sanofi has exercised its Collaboration Target Substitution Right with respect to any such Replaced Collaboration Target, the effective date of any such termination by Sanofi, or the last day of the License Extension Fee Timeframe (in each case as applicable), including such activities with respect to any compound Directed To such Target alone or together with any other Target(s), and (c) any Reserved Target during the Research Term, including such activities with respect to any compound Directed To such Target alone or together with any other Target(s) (each such time period a “</w:t>
      </w:r>
      <w:r>
        <w:rPr>
          <w:rFonts w:ascii="Times New Roman;serif" w:hAnsi="Times New Roman;serif"/>
          <w:b/>
          <w:color w:val="000000"/>
          <w:sz w:val="24"/>
        </w:rPr>
        <w:t>Target Exclusivity Period</w:t>
      </w:r>
      <w:r>
        <w:rPr>
          <w:color w:val="000000"/>
        </w:rPr>
        <w:t>”</w:t>
      </w:r>
      <w:r>
        <w:rPr>
          <w:rFonts w:ascii="Times New Roman;serif" w:hAnsi="Times New Roman;serif"/>
          <w:b w:val="false"/>
          <w:color w:val="000000"/>
          <w:sz w:val="24"/>
        </w:rPr>
        <w:t xml:space="preserve">), in each case (a), (b) and (c) other than such Research activities expressly contemplated herein. Notwithstanding anything to the contrary in this Agreement, including the foregoing clause (b), if Sanofi exercises its Collaboration Target Substitution Right to replace [*], then the Target Exclusivity Period with respect to [*], as applicable, shall be a period of [*] after the date Sanofi has exercised its Collaboration Target Substitution Right with respect to such Target and not [*]: Notwithstanding anything to the contrary in this Agreement, including the foregoing clause (b), the Target Exclusivity Period for the Initial Collaboration Target STAT6 and the Additional Collaboration Target [*] each shall expire upon the termination of the applicable Collaboration Target or the Agreement in its entirety, in each case, by Sanofi pursuant to Section 17.3 (Termination at Will) or Section 17.6(A) (Termination by Sanofi for Change of Control of Nurix) or by Nurix pursuant to Section 17.2 (Termination for Material Breach) or Section 17.4 (Termination for Bankruptcy).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(x)</w:t>
      </w:r>
      <w:r>
        <w:rPr>
          <w:rFonts w:ascii="Times New Roman;serif" w:hAnsi="Times New Roman;serif"/>
          <w:b w:val="false"/>
          <w:color w:val="000000"/>
          <w:sz w:val="24"/>
        </w:rPr>
        <w:t>Section 2.10.3 of the Agreement is hereby deleted in its entirety and replaced with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u w:val="single"/>
        </w:rPr>
        <w:t>2.10.3    Research Results</w:t>
      </w:r>
      <w:r>
        <w:rPr>
          <w:rFonts w:ascii="Times New Roman;serif" w:hAnsi="Times New Roman;serif"/>
          <w:b w:val="false"/>
          <w:color w:val="000000"/>
          <w:sz w:val="24"/>
        </w:rPr>
        <w:t>. All Research Results generated by or on behalf of (i) Nurix or (ii) solely in the case of Research Results related to Collaboration [*], either Party, in each case, under this Agreement or any Ancillary Agreement will be deemed the Confidential Information of both Parties, provided, however, that, if this Agreement or the applicable Collaboration Target is terminated (x) by Sanofi, in accordance with Section 17.3 (Termination at Will) or Section 17.6(A) (Termination by Sanofi for Change of Control of Nurix); or (y) by Nurix, in accordance with Section 17.2 (Termination for Material Breach) or Section 17.4 (Termination for Bankruptcy), then in each case of (x) and (y) upon the expiration of the Target Exclusivity Period for each applicable Target, all Research Results related to such Target that are generated by or on behalf of (i) Nurix or (ii) solely in the case of [*], in the performance of the Collaboration will be deemed the Confidential Information of Nurix, to the extent such Research Results do not include (i) any data, results or other information pertaining to any CTM comprising a Sanofi Target Binder, any Sanofi Target Binder or other Sanofi Materials, or, (ii) in the case of [*], in each case (i) and (ii), which will be deemed the Confidential Information of Sanofi. For clarity: (a) this Section 2.10.3 (Research Results) shall not limit Sanofi’s ability to exercise the license set forth in Section 17.7.2(c), in accordance with the terms and conditions thereof; and (b) Sanofi’s ability to use and disclose such Nurix Confidential Information to Third Parties is governed by Article 14 (Confidentiality), including Sanofi’s right to make disclosures as further described in Section 14.3.1(e)(ii) under customary confidentiality and non-use obligations, to the extent necessary or reasonably useful for Sanofi to exercise its rights under the license set forth in Section 17.7.2(c) (Reversion).</w:t>
      </w:r>
    </w:p>
    <w:p>
      <w:pPr>
        <w:pStyle w:val="TextBody"/>
        <w:bidi w:val="0"/>
        <w:spacing w:lineRule="auto" w:line="240" w:before="0" w:after="240"/>
        <w:ind w:left="0" w:right="0" w:firstLine="1440"/>
        <w:jc w:val="both"/>
        <w:rPr/>
      </w:pPr>
      <w:r>
        <w:rPr>
          <w:rFonts w:ascii="Times New Roman;serif" w:hAnsi="Times New Roman;serif"/>
          <w:b/>
          <w:color w:val="000000"/>
          <w:sz w:val="24"/>
        </w:rPr>
        <w:t>(z)</w:t>
      </w:r>
      <w:r>
        <w:rPr>
          <w:rFonts w:ascii="Times New Roman;serif" w:hAnsi="Times New Roman;serif"/>
          <w:b w:val="false"/>
          <w:color w:val="000000"/>
          <w:sz w:val="24"/>
        </w:rPr>
        <w:t>A new Section 10.4 is hereby added to the Agreement which shall provide as follows:</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10.4    Notwithstanding anything to the contrary in this Agreement, the rights and obligations described in this Article 10 (Assistance; Transition) shall not apply with respect to any Licensed Product containing a Research Plan Completion Licensed Compound.</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4"/>
        </w:rPr>
        <w:t>(aa)</w:t>
      </w:r>
      <w:r>
        <w:rPr>
          <w:rFonts w:ascii="Times New Roman;serif" w:hAnsi="Times New Roman;serif"/>
          <w:b w:val="false"/>
          <w:color w:val="000000"/>
          <w:sz w:val="24"/>
        </w:rPr>
        <w:t>Section 11.5.1 of the Agreement (Research Milestones) is hereby deleted in its entirety and replaced with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11.5.1    Research Milestones</w:t>
      </w:r>
      <w:r>
        <w:rPr>
          <w:rFonts w:ascii="Times New Roman;serif" w:hAnsi="Times New Roman;serif"/>
          <w:b w:val="false"/>
          <w:color w:val="000000"/>
          <w:sz w:val="24"/>
        </w:rPr>
        <w:t>. Subject to the terms and conditions herein (including this Section 11.5.1 (Research Milestones), Section 11.7.4 (Offset for Third Party Payments; Floor), and Section 11.10 (Additional Payment Terms), and on a Collaboration Target-by-Collaboration Target basis, Sanofi will pay the applicable amount set forth in the table below in this Section 11.5.1 (Research Milestones) (each a “</w:t>
      </w:r>
      <w:r>
        <w:rPr>
          <w:rFonts w:ascii="Times New Roman;serif" w:hAnsi="Times New Roman;serif"/>
          <w:b/>
          <w:color w:val="000000"/>
          <w:sz w:val="24"/>
        </w:rPr>
        <w:t>Research Milestone Payment</w:t>
      </w:r>
      <w:r>
        <w:rPr>
          <w:color w:val="000000"/>
        </w:rPr>
        <w:t>”</w:t>
      </w:r>
      <w:r>
        <w:rPr>
          <w:rFonts w:ascii="Times New Roman;serif" w:hAnsi="Times New Roman;serif"/>
          <w:b w:val="false"/>
          <w:color w:val="000000"/>
          <w:sz w:val="24"/>
        </w:rPr>
        <w:t>) associated with each Research Milestone Event described in the table below (in each case as further described in Schedule 1.188) with respect to the first (and only the first) Standalone Target Binder, CTM, or Research Plan Completion Licensed Compound (as the case may be) to achieve such Research Milestone Event under this Agreement for such Collaboration Target, as may be adjusted in accordance herewith:</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10"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tbl>
      <w:tblPr>
        <w:tblW w:w="10125" w:type="dxa"/>
        <w:jc w:val="left"/>
        <w:tblInd w:w="0" w:type="dxa"/>
        <w:tblLayout w:type="fixed"/>
        <w:tblCellMar>
          <w:top w:w="28" w:type="dxa"/>
          <w:left w:w="28" w:type="dxa"/>
          <w:bottom w:w="28" w:type="dxa"/>
          <w:right w:w="28" w:type="dxa"/>
        </w:tblCellMar>
      </w:tblPr>
      <w:tblGrid>
        <w:gridCol w:w="2548"/>
        <w:gridCol w:w="2241"/>
        <w:gridCol w:w="2246"/>
        <w:gridCol w:w="903"/>
        <w:gridCol w:w="903"/>
        <w:gridCol w:w="1284"/>
      </w:tblGrid>
      <w:tr>
        <w:trPr/>
        <w:tc>
          <w:tcPr>
            <w:tcW w:w="2548"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Research Milestone Event </w:t>
            </w:r>
          </w:p>
        </w:tc>
        <w:tc>
          <w:tcPr>
            <w:tcW w:w="3090"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300"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Research Milestone Payment</w:t>
            </w:r>
          </w:p>
        </w:tc>
      </w:tr>
      <w:tr>
        <w:trPr/>
        <w:tc>
          <w:tcPr>
            <w:tcW w:w="70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090"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0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090"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0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090"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0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090"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03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300" w:before="0" w:after="160"/>
              <w:jc w:val="left"/>
              <w:rPr>
                <w:rFonts w:ascii="Times New Roman;serif" w:hAnsi="Times New Roman;serif"/>
                <w:b/>
                <w:color w:val="000000"/>
                <w:sz w:val="24"/>
              </w:rPr>
            </w:pPr>
            <w:r>
              <w:rPr>
                <w:rFonts w:ascii="Times New Roman;serif" w:hAnsi="Times New Roman;serif"/>
                <w:b/>
                <w:color w:val="000000"/>
                <w:sz w:val="24"/>
              </w:rPr>
              <w:t>TOTAL NOT TO EXCEED PER COLLABORATION TARGET:</w:t>
            </w:r>
          </w:p>
        </w:tc>
        <w:tc>
          <w:tcPr>
            <w:tcW w:w="3090" w:type="dxa"/>
            <w:gridSpan w:val="3"/>
            <w:tcBorders>
              <w:top w:val="single" w:sz="4" w:space="0" w:color="000000"/>
              <w:left w:val="single" w:sz="4" w:space="0" w:color="000000"/>
              <w:bottom w:val="single" w:sz="4" w:space="0" w:color="000000"/>
              <w:right w:val="single" w:sz="4" w:space="0" w:color="000000"/>
            </w:tcBorders>
            <w:tcMar>
              <w:top w:w="30" w:type="dxa"/>
              <w:left w:w="51" w:type="dxa"/>
              <w:bottom w:w="30" w:type="dxa"/>
              <w:right w:w="51"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Research Milestone Payment will be payable up to a maximum of one (1) time per Collaboration Target as set forth in the table above, regardless of the number of Standalone Target Binders, CTMs, or Research Plan Completion Licensed Compound, as applicable, that achieve the applicable Research Milestone Event for such Collaboration Target. </w:t>
      </w:r>
    </w:p>
    <w:p>
      <w:pPr>
        <w:pStyle w:val="TextBody"/>
        <w:bidi w:val="0"/>
        <w:spacing w:lineRule="auto" w:line="240" w:before="0" w:after="240"/>
        <w:ind w:left="0" w:right="0" w:firstLine="1440"/>
        <w:jc w:val="both"/>
        <w:rPr/>
      </w:pPr>
      <w:r>
        <w:rPr>
          <w:rFonts w:ascii="Times New Roman;serif" w:hAnsi="Times New Roman;serif"/>
          <w:b/>
          <w:color w:val="000000"/>
          <w:sz w:val="24"/>
        </w:rPr>
        <w:t>(ab)</w:t>
      </w:r>
      <w:r>
        <w:rPr>
          <w:rFonts w:ascii="Times New Roman;serif" w:hAnsi="Times New Roman;serif"/>
          <w:b w:val="false"/>
          <w:color w:val="000000"/>
          <w:sz w:val="24"/>
        </w:rPr>
        <w:t xml:space="preserve">A new Section 12.7 is hereby added to the Agreement: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Nurix hereby grants to Sanofi an exclusive (even as to Nurix and its Affiliates, except as set forth in the Co-Development/Co-Commercialization Agreement and Co-Promotion Agreement (if executed)), transferrable (pursuant to Section 18.4 (Assignment; Change of Control)) and sublicensable (through multiple tiers in accordance with Section 12.4 (Sublicensing)) license, under the Nurix IP and Nurix’s interest in the [*], to [*]. For clarity, the license granted in this Section 12.7 shall be a Collaboration License.</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color w:val="000000"/>
          <w:sz w:val="24"/>
        </w:rPr>
        <w:t>(ac)</w:t>
      </w:r>
      <w:r>
        <w:rPr>
          <w:rFonts w:ascii="Times New Roman;serif" w:hAnsi="Times New Roman;serif"/>
          <w:b w:val="false"/>
          <w:color w:val="000000"/>
          <w:sz w:val="24"/>
        </w:rPr>
        <w:t xml:space="preserve">Subsection (c) of Section 17.7.3 of the Agreement is hereby deleted in its entirety and replaced with the following: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(ad)</w:t>
      </w:r>
      <w:r>
        <w:rPr>
          <w:rFonts w:ascii="Times New Roman;serif" w:hAnsi="Times New Roman;serif"/>
          <w:b w:val="false"/>
          <w:color w:val="000000"/>
          <w:sz w:val="24"/>
          <w:u w:val="single"/>
        </w:rPr>
        <w:t>17.7.3(c)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Sanofi hereby grants to Nurix [*] license, under [*], to Develop, Manufacture and Commercialize all Terminated Licensed Products Directed To [*] in each applicable country in the Territory, subject to Nurix’s obligations under Section 2.10.1 (Target Exclusivity). Nurix will only exercise its rights under the foregoing license with respect to Terminated Licensed Products in existence as of the applicable effective date of termination, provided that, with respect to the Initial Collaboration Target STAT6 and the Additional Collaboration Target [*], Sanofi would grant the foregoing licenses only in the case of [*]. For clarity, Sanofi shall retain the right to use all such STAT6 Sanofi Background IP and [*] Sanofi Background IP for any purpose, and all such other intellectual property rights, Patents or Know-How owned or Controlled by Sanofi for any purpose other than with respect to a Terminated Licensed Product. Nurix shall have the right to terminate all or any portion of the rights granted to it under this Section 17.7.3(c),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1"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upon written notice to Sanofi. Subject to the previous sentence, Nurix shall pay to Sanofi royalties on Annual Net Sales (as such term is applied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 xml:space="preserve">to Nurix and its Affiliates and sublicensees) of: [*] at the following rates: [*]. For clarity, with respect to [*], the license granted to Nurix in this Section 17.7.3(c) shall be [*].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Nurix hereby grants to Sanofi a [*] license, under the Research Results generated by Sanofi related [*] that became the sole Confidential Information of Nurix upon the expiration of the Target Exclusivity Period for the Initial Collaboration Target STAT6 or the Additional Collaboration Target [*] (as applicable) in accordance with Section 2.10.3 (Research Results) to use for any purpose other than to Research, Develop or Commercialize the Terminated Licensed Products that are Directed To the Initial Collaboration Target STAT6 or the Additional Collaboration Target [*] (as applicable).</w:t>
      </w:r>
    </w:p>
    <w:p>
      <w:pPr>
        <w:pStyle w:val="TextBody"/>
        <w:bidi w:val="0"/>
        <w:spacing w:lineRule="auto" w:line="240"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rPr>
        <w:t>Miscellaneous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color w:val="000000"/>
          <w:sz w:val="24"/>
        </w:rPr>
        <w:t>No Other Amendments.</w:t>
      </w:r>
      <w:r>
        <w:rPr>
          <w:color w:val="000000"/>
        </w:rPr>
        <w:t xml:space="preserve"> </w:t>
      </w:r>
      <w:r>
        <w:rPr>
          <w:rFonts w:ascii="Times New Roman;serif" w:hAnsi="Times New Roman;serif"/>
          <w:b w:val="false"/>
          <w:color w:val="000000"/>
          <w:sz w:val="24"/>
        </w:rPr>
        <w:t>This Amendment shall be deemed to be a part of and incorporated into the Agreement. In the event of a conflict between this Amendment and the Agreement, this Amendment shall control. Except as expressly set forth in this Amendment, all of the terms and conditions of the Agreement, including without limitation rights and obligations with respect to Patents and Know-How, shall remain unchanged and are ratified and confirmed in all respects and remain in full force and effect.</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color w:val="000000"/>
          <w:sz w:val="24"/>
        </w:rPr>
        <w:t>Entire Agreement</w:t>
      </w:r>
      <w:r>
        <w:rPr>
          <w:rFonts w:ascii="Times New Roman;serif" w:hAnsi="Times New Roman;serif"/>
          <w:b w:val="false"/>
          <w:color w:val="000000"/>
          <w:sz w:val="24"/>
        </w:rPr>
        <w:t>. This Amendment, together with the Agreement and any exhibits or attachments thereto, contains the entire agreement by the Parties with respect to the subject matter hereof, and any reference to the Agreement shall refer to the Agreement, as amended by this Amendment.</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color w:val="000000"/>
          <w:sz w:val="24"/>
        </w:rPr>
        <w:t>Counterparts</w:t>
      </w:r>
      <w:r>
        <w:rPr>
          <w:rFonts w:ascii="Times New Roman;serif" w:hAnsi="Times New Roman;serif"/>
          <w:b w:val="false"/>
          <w:color w:val="000000"/>
          <w:sz w:val="24"/>
        </w:rPr>
        <w:t>. This Amendment may be executed in counterparts with the same effect as if both Parties had signed the same document. All such counterparts will be deemed an original, will be construed together and will constitute one and the same instrument. Any such counterpart, to the extent delivered by Electronic Delivery,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pStyle w:val="TextBody"/>
        <w:bidi w:val="0"/>
        <w:spacing w:lineRule="auto" w:line="240" w:before="0" w:after="240"/>
        <w:ind w:left="0" w:right="0" w:firstLine="1440"/>
        <w:jc w:val="both"/>
        <w:rPr/>
      </w:pPr>
      <w:r>
        <w:rPr>
          <w:rFonts w:ascii="Times New Roman;serif" w:hAnsi="Times New Roman;serif"/>
          <w:b/>
          <w:color w:val="000000"/>
          <w:sz w:val="24"/>
        </w:rPr>
        <w:t>(d)</w:t>
      </w:r>
      <w:r>
        <w:rPr>
          <w:rFonts w:ascii="Times New Roman;serif" w:hAnsi="Times New Roman;serif"/>
          <w:b/>
          <w:color w:val="000000"/>
          <w:sz w:val="24"/>
        </w:rPr>
        <w:t xml:space="preserve">Choice of Law. </w:t>
      </w:r>
      <w:r>
        <w:rPr>
          <w:rFonts w:ascii="Times New Roman;serif" w:hAnsi="Times New Roman;serif"/>
          <w:b w:val="false"/>
          <w:color w:val="000000"/>
          <w:sz w:val="24"/>
        </w:rPr>
        <w:t xml:space="preserve">This Amendment and any Dispute arising from the performance or breach hereof will be governed by and interpreted in accordance with the laws of the State of New York, without giving effect to any choice of law rules. </w:t>
      </w:r>
    </w:p>
    <w:p>
      <w:pPr>
        <w:pStyle w:val="TextBody"/>
        <w:bidi w:val="0"/>
        <w:spacing w:lineRule="auto" w:line="288" w:before="0" w:after="240"/>
        <w:jc w:val="center"/>
        <w:rPr/>
      </w:pPr>
      <w:r>
        <w:rPr>
          <w:rFonts w:ascii="Times New Roman;serif" w:hAnsi="Times New Roman;serif"/>
          <w:b w:val="false"/>
          <w:color w:val="000000"/>
          <w:sz w:val="24"/>
        </w:rPr>
        <w:t>4.</w:t>
      </w: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In Witness Whereof, </w:t>
      </w:r>
      <w:r>
        <w:rPr>
          <w:rFonts w:ascii="Times New Roman;serif" w:hAnsi="Times New Roman;serif"/>
          <w:b w:val="false"/>
          <w:color w:val="000000"/>
          <w:sz w:val="24"/>
        </w:rPr>
        <w:t>and intending to be legally bound hereby, the Parties have caused this Amendment to be executed by their respective duly authorized representatives as of the Amendment Date.</w:t>
      </w:r>
    </w:p>
    <w:tbl>
      <w:tblPr>
        <w:tblW w:w="6869" w:type="dxa"/>
        <w:jc w:val="left"/>
        <w:tblInd w:w="0" w:type="dxa"/>
        <w:tblLayout w:type="fixed"/>
        <w:tblCellMar>
          <w:top w:w="28" w:type="dxa"/>
          <w:left w:w="28" w:type="dxa"/>
          <w:bottom w:w="28" w:type="dxa"/>
          <w:right w:w="28" w:type="dxa"/>
        </w:tblCellMar>
      </w:tblPr>
      <w:tblGrid>
        <w:gridCol w:w="1288"/>
        <w:gridCol w:w="1132"/>
        <w:gridCol w:w="1134"/>
        <w:gridCol w:w="970"/>
        <w:gridCol w:w="970"/>
        <w:gridCol w:w="1375"/>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360"/>
              <w:jc w:val="left"/>
              <w:rPr>
                <w:rFonts w:ascii="Times New Roman;serif" w:hAnsi="Times New Roman;serif"/>
                <w:b/>
                <w:color w:val="000000"/>
                <w:sz w:val="24"/>
              </w:rPr>
            </w:pPr>
            <w:r>
              <w:rPr>
                <w:rFonts w:ascii="Times New Roman;serif" w:hAnsi="Times New Roman;serif"/>
                <w:b/>
                <w:color w:val="000000"/>
                <w:sz w:val="24"/>
              </w:rPr>
              <w:t>NURIX THERAPEUTICS, INC.</w:t>
            </w:r>
          </w:p>
          <w:p>
            <w:pPr>
              <w:pStyle w:val="TableContents"/>
              <w:bidi w:val="0"/>
              <w:spacing w:lineRule="auto" w:line="288" w:before="0" w:after="24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Christine Ring    </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Christine Ring</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Chief Legal Officer</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360"/>
              <w:jc w:val="left"/>
              <w:rPr>
                <w:rFonts w:ascii="Times New Roman;serif" w:hAnsi="Times New Roman;serif"/>
                <w:b/>
                <w:color w:val="000000"/>
                <w:sz w:val="24"/>
              </w:rPr>
            </w:pPr>
            <w:r>
              <w:rPr>
                <w:rFonts w:ascii="Times New Roman;serif" w:hAnsi="Times New Roman;serif"/>
                <w:b/>
                <w:color w:val="000000"/>
                <w:sz w:val="24"/>
              </w:rPr>
              <w:t>GENZYME CORPORATION</w:t>
            </w:r>
          </w:p>
          <w:p>
            <w:pPr>
              <w:pStyle w:val="TableContents"/>
              <w:bidi w:val="0"/>
              <w:spacing w:lineRule="auto" w:line="288" w:before="0" w:after="24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Quigley    </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Michael Quigley</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Chief Scientific Officer</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rPr>
            </w:pPr>
            <w:r>
              <w:rPr>
                <w:color w:val="000000"/>
              </w:rPr>
              <w:t>          </w:t>
            </w:r>
            <w:r>
              <w:rPr>
                <w:rFonts w:ascii="Times New Roman;serif" w:hAnsi="Times New Roman;serif"/>
                <w:b w:val="false"/>
                <w:color w:val="000000"/>
                <w:sz w:val="24"/>
              </w:rPr>
              <w:t>April 8, 2026</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rPr>
            </w:pPr>
            <w:r>
              <w:rPr>
                <w:color w:val="000000"/>
              </w:rPr>
              <w:t>            </w:t>
            </w:r>
            <w:r>
              <w:rPr>
                <w:rFonts w:ascii="Times New Roman;serif" w:hAnsi="Times New Roman;serif"/>
                <w:b w:val="false"/>
                <w:color w:val="000000"/>
                <w:sz w:val="24"/>
              </w:rPr>
              <w:t>April 7, 2026</w:t>
            </w:r>
          </w:p>
        </w:tc>
      </w:tr>
    </w:tbl>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AMENDMENT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AMENDMENT 7]</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Arthur T. Sands,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Nurix Therapeutics,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56"/>
        <w:gridCol w:w="1156"/>
        <w:gridCol w:w="1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July 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Hans van Houte,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Nurix Therapeutics,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9"/>
        <w:gridCol w:w="1099"/>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H</w:t>
            </w:r>
            <w:r>
              <w:rPr>
                <w:rFonts w:ascii="Times New Roman;serif" w:hAnsi="Times New Roman;serif"/>
                <w:b w:val="false"/>
                <w:color w:val="000000"/>
                <w:sz w:val="16"/>
              </w:rPr>
              <w:t>ANS 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July 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of the undersigned officers of Nurix Therapeutics, Inc. (the Company) certifies, pursuant to 18 U.S.C. § 1350, as adopted pursuant to § 906 of the Sarbanes-Oxley Act of 2002,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May 31, 2026 (the Quarterly Report), as filed with the Securities and Exchange Commission,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this Quarterly Report fairly presents, in all material respects, the financial condition and results of operations of the Company.</w:t>
      </w:r>
    </w:p>
    <w:tbl>
      <w:tblPr>
        <w:tblW w:w="47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56"/>
        <w:gridCol w:w="1156"/>
        <w:gridCol w:w="1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H</w:t>
            </w:r>
            <w:r>
              <w:rPr>
                <w:rFonts w:ascii="Times New Roman;serif" w:hAnsi="Times New Roman;serif"/>
                <w:b w:val="false"/>
                <w:color w:val="000000"/>
                <w:sz w:val="16"/>
              </w:rPr>
              <w:t>ANS 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July 9,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both"/>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9595/000119312526096734/d32105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78637</Words>
  <Characters>440813</Characters>
  <CharactersWithSpaces>517967</CharactersWithSpaces>
  <Paragraphs>2600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