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52"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52"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February 28, 2026</w:t>
      </w:r>
    </w:p>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001-39398</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80" w:after="283"/>
        <w:jc w:val="center"/>
        <w:rPr>
          <w:rFonts w:ascii="Times New Roman;serif" w:hAnsi="Times New Roman;serif"/>
          <w:b/>
          <w:color w:val="000000"/>
          <w:sz w:val="48"/>
        </w:rPr>
      </w:pPr>
      <w:r>
        <w:rPr>
          <w:rFonts w:ascii="Times New Roman;serif" w:hAnsi="Times New Roman;serif"/>
          <w:b/>
          <w:color w:val="000000"/>
          <w:sz w:val="48"/>
        </w:rPr>
        <w:t>NURIX THERAPEUTICS, INC.</w:t>
      </w:r>
    </w:p>
    <w:p>
      <w:pPr>
        <w:pStyle w:val="TextBody"/>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35" w:type="dxa"/>
        <w:jc w:val="center"/>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27-0838048</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 xml:space="preserve">1600 Sierra Point Parkway, </w:t>
            </w:r>
          </w:p>
          <w:p>
            <w:pPr>
              <w:pStyle w:val="TableContents"/>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Brisbane, CA</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94005</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52"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(415) 660-5320</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16" w:type="dxa"/>
        <w:jc w:val="center"/>
        <w:tblInd w:w="0" w:type="dxa"/>
        <w:tblLayout w:type="fixed"/>
        <w:tblCellMar>
          <w:top w:w="28" w:type="dxa"/>
          <w:left w:w="28" w:type="dxa"/>
          <w:bottom w:w="28" w:type="dxa"/>
          <w:right w:w="28" w:type="dxa"/>
        </w:tblCellMar>
      </w:tblPr>
      <w:tblGrid>
        <w:gridCol w:w="1301"/>
        <w:gridCol w:w="1145"/>
        <w:gridCol w:w="1153"/>
        <w:gridCol w:w="109"/>
        <w:gridCol w:w="109"/>
        <w:gridCol w:w="109"/>
        <w:gridCol w:w="294"/>
        <w:gridCol w:w="294"/>
        <w:gridCol w:w="296"/>
        <w:gridCol w:w="109"/>
        <w:gridCol w:w="109"/>
        <w:gridCol w:w="109"/>
        <w:gridCol w:w="1019"/>
        <w:gridCol w:w="1019"/>
        <w:gridCol w:w="1441"/>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52"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52"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April 1, 2026, the Registrant had 103,405,813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and conduct of our clinical trial programs for our lead drug candidates bexobrutideg (NX-5948), zelebrudomide (NX-2127) and NX-1607 and other drug candidates, including statements regarding the timing of data and anticipated announcements, the selection of new development candidates and the initiation of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and our ability to obtain, marketing approvals for our lead drug candidates bexobrutideg, zelebrudomide and NX-1607 and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plans to pursue research and development of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investigational new drug application (IND) submissions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advantages of our DEL-AI platform, our drug candidates and degrader antibody conjugates (DACs);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extent to which our scientific approach, our DEL-AI platform, protein degradation, antibody-drug conjugation, and DACs may potentially address a broad range of diseases;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benefits of our arrangements with Gilead Sciences, Inc., Sanofi S.A. and Seagen Inc. (now a part of Pfizer Inc.);</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and our ability to obtain and maintain regulatory approvals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receipt of revenue from future sales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the potential market opportunity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sales, marketing and distribution capabilities and strategy;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and maintain arrangements for the manufacturing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expected impact of global business, political and macroeconomic conditions, including inflation, interest rate fluctuations and volatile market conditions, uncertainty with respect to the federal budget and debt ceiling, potential government shutdowns related thereto, cybersecurity events, instability in the global banking system, and global events, including regional conflicts around the world, on our business, clinical trials, financial condition, liquidity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achievement of milestones and receipt of royalty payments under our collaborations;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enter into additional collaborations with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intellectual property position;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revenues, capital requirements and needs for additional financing;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impact of government laws and regulations;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at-length below. These risks include, among others,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incurred significant losses since our inception. We expect to incur losses over at least the next several years and may never achieve or maintain profitability.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never generated revenue from product sales and may never be profitable.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will need substantial additional funding. If we are unable to raise capital when needed, we may be required to delay, limit, reduce or terminate our research or product development programs or future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Current and future legislation may increase the difficulty and cost for us, and any collaborators, to obtain marketing approval of and commercialize our drug candidates and affect the prices we, or they, may obtain.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are early in our development efforts. Our lead drug candidates, bexobrutideg (NX-5948), zelebrudomide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limited operating history may make it difficult to evaluate the success of our business to date and to assess our future viability.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serious adverse events, undesirable side effects or unexpected characteristics are identified during the development of any drug candidates we may develop, we may need to abandon or limit our further clinical development of those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results of preclinical studies and early-stage clinical trials may not be predictive of future results. Initial success in clinical trials may not be indicative of results obtained in later-stage trials or when these trials are completed.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seek or obtain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face substantial competition in an environment of rapid technological change, which may result in others discovering, developing or commercializing products before or more successfully than we do.</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Unfavorable global economic conditions could adversely affect our business, financial condition, stock price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fail to attract and retain management and other key personnel, we may be unable to continue to successfully develop our current and any future drug candidates, commercialize our drug candidates or otherwise implement our business plan.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3"/>
        <w:gridCol w:w="2453"/>
        <w:gridCol w:w="2459"/>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6">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6">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b0e24b70c3a147b6ac9964f3a2740635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9">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9">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22">
              <w:r>
                <w:rPr>
                  <w:rStyle w:val="InternetLink"/>
                  <w:rFonts w:ascii="Times New Roman;serif" w:hAnsi="Times New Roman;serif"/>
                  <w:b w:val="false"/>
                  <w:color w:val="0000FF"/>
                  <w:sz w:val="20"/>
                  <w:u w:val="single"/>
                </w:rPr>
                <w:t xml:space="preserve">Condensed Balance Sheets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22">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25">
              <w:r>
                <w:rPr>
                  <w:rStyle w:val="InternetLink"/>
                  <w:rFonts w:ascii="Times New Roman;serif" w:hAnsi="Times New Roman;serif"/>
                  <w:b w:val="false"/>
                  <w:color w:val="0000FF"/>
                  <w:sz w:val="20"/>
                  <w:u w:val="single"/>
                </w:rPr>
                <w:t xml:space="preserve">Condensed Statements of Operations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25">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28">
              <w:r>
                <w:rPr>
                  <w:rStyle w:val="InternetLink"/>
                  <w:rFonts w:ascii="Times New Roman;serif" w:hAnsi="Times New Roman;serif"/>
                  <w:b w:val="false"/>
                  <w:color w:val="0000FF"/>
                  <w:sz w:val="20"/>
                  <w:u w:val="single"/>
                </w:rPr>
                <w:t xml:space="preserve">Condensed Statements of Comprehensive Loss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28">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31">
              <w:r>
                <w:rPr>
                  <w:rStyle w:val="InternetLink"/>
                  <w:rFonts w:ascii="Times New Roman;serif" w:hAnsi="Times New Roman;serif"/>
                  <w:b w:val="false"/>
                  <w:color w:val="0000FF"/>
                  <w:sz w:val="20"/>
                  <w:u w:val="single"/>
                </w:rPr>
                <w:t xml:space="preserve">Condensed Statements of Stockholders’ Equity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31">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34">
              <w:r>
                <w:rPr>
                  <w:rStyle w:val="InternetLink"/>
                  <w:rFonts w:ascii="Times New Roman;serif" w:hAnsi="Times New Roman;serif"/>
                  <w:b w:val="false"/>
                  <w:color w:val="0000FF"/>
                  <w:sz w:val="20"/>
                  <w:u w:val="single"/>
                </w:rPr>
                <w:t xml:space="preserve">Condensed Statements of Cash Flows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34">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37">
              <w:r>
                <w:rPr>
                  <w:rStyle w:val="InternetLink"/>
                  <w:rFonts w:ascii="Times New Roman;serif" w:hAnsi="Times New Roman;serif"/>
                  <w:b w:val="false"/>
                  <w:color w:val="0000FF"/>
                  <w:sz w:val="20"/>
                  <w:u w:val="single"/>
                </w:rPr>
                <w:t>Notes to Condensed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37">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76">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76">
              <w:r>
                <w:rPr>
                  <w:rStyle w:val="InternetLink"/>
                  <w:rFonts w:ascii="Times New Roman;serif" w:hAnsi="Times New Roman;serif"/>
                  <w:b w:val="false"/>
                  <w:strike w:val="false"/>
                  <w:dstrike w:val="false"/>
                  <w:color w:val="000000"/>
                  <w:sz w:val="20"/>
                  <w:u w:val="none"/>
                  <w:effect w:val="none"/>
                </w:rPr>
                <w:t>22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0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0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03">
              <w:r>
                <w:rPr>
                  <w:rStyle w:val="InternetLink"/>
                  <w:rFonts w:ascii="Times New Roman;serif" w:hAnsi="Times New Roman;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06">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06">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06">
              <w:r>
                <w:rPr>
                  <w:rStyle w:val="InternetLink"/>
                  <w:rFonts w:ascii="Times New Roman;serif" w:hAnsi="Times New Roman;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09">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09">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09">
              <w:r>
                <w:rPr>
                  <w:rStyle w:val="InternetLink"/>
                  <w:rFonts w:ascii="Times New Roman;serif" w:hAnsi="Times New Roman;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12">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12">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12">
              <w:r>
                <w:rPr>
                  <w:rStyle w:val="InternetLink"/>
                  <w:rFonts w:ascii="Times New Roman;serif" w:hAnsi="Times New Roman;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15">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15">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15">
              <w:r>
                <w:rPr>
                  <w:rStyle w:val="InternetLink"/>
                  <w:rFonts w:ascii="Times New Roman;serif" w:hAnsi="Times New Roman;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4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42">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42">
              <w:r>
                <w:rPr>
                  <w:rStyle w:val="InternetLink"/>
                  <w:rFonts w:ascii="Times New Roman;serif" w:hAnsi="Times New Roman;serif"/>
                  <w:b w:val="false"/>
                  <w:strike w:val="false"/>
                  <w:dstrike w:val="false"/>
                  <w:color w:val="000000"/>
                  <w:sz w:val="20"/>
                  <w:u w:val="none"/>
                  <w:effect w:val="none"/>
                </w:rPr>
                <w:t>93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4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45">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45">
              <w:r>
                <w:rPr>
                  <w:rStyle w:val="InternetLink"/>
                  <w:rFonts w:ascii="Times New Roman;serif" w:hAnsi="Times New Roman;serif"/>
                  <w:b w:val="false"/>
                  <w:strike w:val="false"/>
                  <w:dstrike w:val="false"/>
                  <w:color w:val="000000"/>
                  <w:sz w:val="20"/>
                  <w:u w:val="none"/>
                  <w:effect w:val="none"/>
                </w:rPr>
                <w:t>93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4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48">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48">
              <w:r>
                <w:rPr>
                  <w:rStyle w:val="InternetLink"/>
                  <w:rFonts w:ascii="Times New Roman;serif" w:hAnsi="Times New Roman;serif"/>
                  <w:b w:val="false"/>
                  <w:strike w:val="false"/>
                  <w:dstrike w:val="false"/>
                  <w:color w:val="000000"/>
                  <w:sz w:val="20"/>
                  <w:u w:val="none"/>
                  <w:effect w:val="none"/>
                </w:rPr>
                <w:t>93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51">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51">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51">
              <w:r>
                <w:rPr>
                  <w:rStyle w:val="InternetLink"/>
                  <w:rFonts w:ascii="Times New Roman;serif" w:hAnsi="Times New Roman;serif"/>
                  <w:b w:val="false"/>
                  <w:strike w:val="false"/>
                  <w:dstrike w:val="false"/>
                  <w:color w:val="000000"/>
                  <w:sz w:val="20"/>
                  <w:u w:val="none"/>
                  <w:effect w:val="none"/>
                </w:rPr>
                <w:t>93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54">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54">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54">
              <w:r>
                <w:rPr>
                  <w:rStyle w:val="InternetLink"/>
                  <w:rFonts w:ascii="Times New Roman;serif" w:hAnsi="Times New Roman;serif"/>
                  <w:b w:val="false"/>
                  <w:strike w:val="false"/>
                  <w:dstrike w:val="false"/>
                  <w:color w:val="000000"/>
                  <w:sz w:val="20"/>
                  <w:u w:val="none"/>
                  <w:effect w:val="none"/>
                </w:rPr>
                <w:t>94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b0e24b70c3a147b6ac9964f3a2740635_157">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0e24b70c3a147b6ac9964f3a2740635_157">
              <w:r>
                <w:rPr>
                  <w:rStyle w:val="InternetLink"/>
                  <w:rFonts w:ascii="Times New Roman;serif" w:hAnsi="Times New Roman;serif"/>
                  <w:b w:val="false"/>
                  <w:strike w:val="false"/>
                  <w:dstrike w:val="false"/>
                  <w:color w:val="000000"/>
                  <w:sz w:val="20"/>
                  <w:u w:val="none"/>
                  <w:effect w:val="non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90"/>
        <w:gridCol w:w="2348"/>
        <w:gridCol w:w="2292"/>
        <w:gridCol w:w="211"/>
        <w:gridCol w:w="829"/>
        <w:gridCol w:w="109"/>
        <w:gridCol w:w="109"/>
        <w:gridCol w:w="109"/>
        <w:gridCol w:w="109"/>
        <w:gridCol w:w="211"/>
        <w:gridCol w:w="829"/>
        <w:gridCol w:w="159"/>
      </w:tblGrid>
      <w:tr>
        <w:trPr/>
        <w:tc>
          <w:tcPr>
            <w:tcW w:w="2890"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606,819 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stockholdersʼ equity</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86,471 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Stockholdersʼ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as of February 28, 2026 and November 30, 2025; no shares issued and outstanding as of February 28, 2026 and November 30, 2025</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shares authorized as of February 28, 2026 and November 30, 2025; 103,399,813 and 101,807,484 shares issued and outstanding as of February 28, 2026 and November 30, 2025,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1,541,766 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(1,003,226)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stockholdersʼ equity</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stockholdersʼ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NURIX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831" w:type="dxa"/>
        <w:jc w:val="center"/>
        <w:tblInd w:w="0" w:type="dxa"/>
        <w:tblLayout w:type="fixed"/>
        <w:tblCellMar>
          <w:top w:w="28" w:type="dxa"/>
          <w:left w:w="28" w:type="dxa"/>
          <w:bottom w:w="28" w:type="dxa"/>
          <w:right w:w="28" w:type="dxa"/>
        </w:tblCellMar>
      </w:tblPr>
      <w:tblGrid>
        <w:gridCol w:w="1991"/>
        <w:gridCol w:w="1756"/>
        <w:gridCol w:w="1773"/>
        <w:gridCol w:w="109"/>
        <w:gridCol w:w="109"/>
        <w:gridCol w:w="131"/>
        <w:gridCol w:w="131"/>
        <w:gridCol w:w="254"/>
        <w:gridCol w:w="958"/>
        <w:gridCol w:w="131"/>
        <w:gridCol w:w="109"/>
        <w:gridCol w:w="109"/>
        <w:gridCol w:w="109"/>
        <w:gridCol w:w="211"/>
        <w:gridCol w:w="796"/>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February 28,</w:t>
            </w:r>
          </w:p>
        </w:tc>
        <w:tc>
          <w:tcPr>
            <w:tcW w:w="1488" w:type="dxa"/>
            <w:gridSpan w:val="6"/>
            <w:tcBorders/>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98,747 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(92,495)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(87,174)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110,071,668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83,560,795</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65" w:type="dxa"/>
        <w:jc w:val="center"/>
        <w:tblInd w:w="0" w:type="dxa"/>
        <w:tblLayout w:type="fixed"/>
        <w:tblCellMar>
          <w:top w:w="28" w:type="dxa"/>
          <w:left w:w="28" w:type="dxa"/>
          <w:bottom w:w="28" w:type="dxa"/>
          <w:right w:w="28" w:type="dxa"/>
        </w:tblCellMar>
      </w:tblPr>
      <w:tblGrid>
        <w:gridCol w:w="1938"/>
        <w:gridCol w:w="1692"/>
        <w:gridCol w:w="1724"/>
        <w:gridCol w:w="109"/>
        <w:gridCol w:w="109"/>
        <w:gridCol w:w="131"/>
        <w:gridCol w:w="131"/>
        <w:gridCol w:w="254"/>
        <w:gridCol w:w="958"/>
        <w:gridCol w:w="131"/>
        <w:gridCol w:w="109"/>
        <w:gridCol w:w="109"/>
        <w:gridCol w:w="109"/>
        <w:gridCol w:w="211"/>
        <w:gridCol w:w="796"/>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February 28,</w:t>
            </w:r>
          </w:p>
        </w:tc>
        <w:tc>
          <w:tcPr>
            <w:tcW w:w="1488" w:type="dxa"/>
            <w:gridSpan w:val="6"/>
            <w:tcBorders/>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(87,174)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(87,223)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45"/>
        <w:gridCol w:w="766"/>
        <w:gridCol w:w="772"/>
        <w:gridCol w:w="304"/>
        <w:gridCol w:w="304"/>
        <w:gridCol w:w="308"/>
        <w:gridCol w:w="109"/>
        <w:gridCol w:w="109"/>
        <w:gridCol w:w="109"/>
        <w:gridCol w:w="196"/>
        <w:gridCol w:w="331"/>
        <w:gridCol w:w="109"/>
        <w:gridCol w:w="109"/>
        <w:gridCol w:w="109"/>
        <w:gridCol w:w="109"/>
        <w:gridCol w:w="196"/>
        <w:gridCol w:w="871"/>
        <w:gridCol w:w="109"/>
        <w:gridCol w:w="109"/>
        <w:gridCol w:w="109"/>
        <w:gridCol w:w="109"/>
        <w:gridCol w:w="267"/>
        <w:gridCol w:w="574"/>
        <w:gridCol w:w="150"/>
        <w:gridCol w:w="109"/>
        <w:gridCol w:w="109"/>
        <w:gridCol w:w="109"/>
        <w:gridCol w:w="196"/>
        <w:gridCol w:w="775"/>
        <w:gridCol w:w="109"/>
        <w:gridCol w:w="109"/>
        <w:gridCol w:w="109"/>
        <w:gridCol w:w="109"/>
        <w:gridCol w:w="196"/>
        <w:gridCol w:w="736"/>
        <w:gridCol w:w="156"/>
      </w:tblGrid>
      <w:tr>
        <w:trPr/>
        <w:tc>
          <w:tcPr>
            <w:tcW w:w="114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November 30,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75,870,718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marketable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February 28, 2025</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76,234,799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480,917 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84"/>
        <w:gridCol w:w="644"/>
        <w:gridCol w:w="649"/>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267"/>
        <w:gridCol w:w="574"/>
        <w:gridCol w:w="150"/>
        <w:gridCol w:w="109"/>
        <w:gridCol w:w="109"/>
        <w:gridCol w:w="109"/>
        <w:gridCol w:w="196"/>
        <w:gridCol w:w="900"/>
        <w:gridCol w:w="109"/>
        <w:gridCol w:w="109"/>
        <w:gridCol w:w="109"/>
        <w:gridCol w:w="109"/>
        <w:gridCol w:w="196"/>
        <w:gridCol w:w="736"/>
        <w:gridCol w:w="157"/>
      </w:tblGrid>
      <w:tr>
        <w:trPr/>
        <w:tc>
          <w:tcPr>
            <w:tcW w:w="108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November 30, 2025</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101,807,484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538,747 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8"/>
              </w:rPr>
              <w:t xml:space="preserve">Issuance of common stock in </w:t>
            </w:r>
            <w:r>
              <w:rPr>
                <w:color w:val="000000"/>
                <w:shd w:fill="FFFFFF" w:val="clear"/>
              </w:rPr>
              <w:t>“</w:t>
            </w:r>
            <w:r>
              <w:rPr>
                <w:rFonts w:ascii="Times New Roman;serif" w:hAnsi="Times New Roman;serif"/>
                <w:b w:val="false"/>
                <w:color w:val="000000"/>
                <w:sz w:val="18"/>
              </w:rPr>
              <w:t>at the market</w:t>
            </w:r>
            <w:r>
              <w:rPr>
                <w:color w:val="000000"/>
              </w:rPr>
              <w:t xml:space="preserve">” </w:t>
            </w:r>
            <w:r>
              <w:rPr>
                <w:rFonts w:ascii="Times New Roman;serif" w:hAnsi="Times New Roman;serif"/>
                <w:b w:val="false"/>
                <w:color w:val="000000"/>
                <w:sz w:val="18"/>
              </w:rPr>
              <w:t>financing, net of issuance costs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February 28, 2026</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103,399,813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(1,090,400)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480,893 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3"/>
        <w:gridCol w:w="2347"/>
        <w:gridCol w:w="2364"/>
        <w:gridCol w:w="224"/>
        <w:gridCol w:w="832"/>
        <w:gridCol w:w="115"/>
        <w:gridCol w:w="115"/>
        <w:gridCol w:w="115"/>
        <w:gridCol w:w="115"/>
        <w:gridCol w:w="224"/>
        <w:gridCol w:w="832"/>
        <w:gridCol w:w="169"/>
      </w:tblGrid>
      <w:tr>
        <w:trPr/>
        <w:tc>
          <w:tcPr>
            <w:tcW w:w="2753"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February 28,</w:t>
            </w:r>
          </w:p>
        </w:tc>
      </w:tr>
      <w:tr>
        <w:trPr/>
        <w:tc>
          <w:tcPr>
            <w:tcW w:w="7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(87,174)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marketable securities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(71,914)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(61,087)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(110,183)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(123,826)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in “at the market” financing, net of issuance costs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(175,765)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76,817 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 included in accounts payable and accrued expenses and other current liabilities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recognized in exchange for lease obligations</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746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98" w:type="dxa"/>
        <w:jc w:val="center"/>
        <w:tblInd w:w="0" w:type="dxa"/>
        <w:tblLayout w:type="fixed"/>
        <w:tblCellMar>
          <w:top w:w="28" w:type="dxa"/>
          <w:left w:w="28" w:type="dxa"/>
          <w:bottom w:w="28" w:type="dxa"/>
          <w:right w:w="28" w:type="dxa"/>
        </w:tblCellMar>
      </w:tblPr>
      <w:tblGrid>
        <w:gridCol w:w="1862"/>
        <w:gridCol w:w="1637"/>
        <w:gridCol w:w="1645"/>
        <w:gridCol w:w="211"/>
        <w:gridCol w:w="721"/>
        <w:gridCol w:w="109"/>
        <w:gridCol w:w="109"/>
        <w:gridCol w:w="109"/>
        <w:gridCol w:w="109"/>
        <w:gridCol w:w="211"/>
        <w:gridCol w:w="721"/>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February 28,</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 Organization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Nurix Therapeutics, Inc. (the Company) was incorporated in the state of Delaware on August 27, 2009, and is headquartered in Brisbane, California. The Company is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artificial intelligence (AI)-integrated discovery engine capable of tackling any protein class, and coupled with leading ligase expertise, the Company holds a differentiated position in translating the science of protein degradation into clinical advancements with the aim of establishing degrader-based treatments at the forefront of patient care.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subscriptions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gross proceeds of $20.0 million before deducting offering commissions and expenses paid by the Company. In May 2024, the Company issued and sold 3,194,809 shares of common stock under the Equity Distribution Agreement at various prices ranging from $15.50 to $16.00 per share for total gross proceeds of $50.2 million, before deducting offering commissions and expenses paid by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subscriptions rights and/or units or any combination of securities described in the prospectus in one or more offerings. On July 11, 2024, the Company entered into Amendment No. 1 to the Equity Distribution Agreement (as amended, the Amended Equity Distribution Agreement), pursuant to which, from time to time, the Company could offer and sell through Piper Sandler up to $150.0 million of common stock registered under the Automatic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sell any shares at any time during the term of the Amended Equity Distribution Agreement. The Company agreed to pay Piper Sandler a commission of up to 3.0% of the gross sales price of any shares sold pursuant to the Amended Equity Distribution Agreement. In August 2024, the Company issued and sold 2,145,000 shares of common stock under the Amended Equity Distribution Agreement at a price of $20.00 per share for total gross proceeds of $42.9 million before deducting offering commissions and expenses paid by the Company. In October 2024, the Company issued and sold 4,803,573 shares of common stock under the Amended Equity Distribution Agreement at various prices ranging from $21.50 to $25.00 per share for total gross proceeds of $107.1 million, before deducting offering commissions and expenses paid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the Company entered into Amendment No. 2 to the Equity Distribution Agreement (as amended, the Second Amended Equity Distribution Agreement), pursuant to which, from time to time, the Company could offer and sell through Piper Sandler up to $300.0 million of common stock registered under the Automatic Shelf Registration Statement pursuant to one or more “at the market” offerings. The Company was not required to sell any shares at any time during the term of the Second Amended Equity Distribution Agreement. The Company agreed to pay Piper Sandler a commission of up to 3.0% of the gross sales price of any shares sold pursuant to the Second Amended Equity Distribution Agreement. In November 2024, the Company issued and sold 3,634,393 shares of common stock under the Second Amended Equity Distribution Agreement at a price of $26.25 per share for total gross proceeds of $95.4 million before deducting offering commissions and expenses paid by the Company. In January 2026, the Company issued and sold 1,000,000 shares of common stock under the Second Amended Equity Distribution Agreement at a price of $18.25 per share for total gross proceeds of $18.3 million before deducting offering commissions and expenses paid by the Company. As of February 28, 2026, the Company had $186.3 million of common stock remaining available for sale under the Second Amended 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6, 2026, the Company entered into Amendment No. 3 to the Equity Distribution Agreement (as amended, the Third Amended Equity Distribution Agreement), pursuant to which, from time to time, the Company may offer and sell through Piper Sandler up to $413.65 million of common stock, which includes $113.65 million in gross proceeds sold under the Second Amended Equity Distribution Agreement, registered under the Automatic Shelf Registration Statement pursuant to one or more “at the market” offerings. The Company is not required to sell any shares at any time during the term of the Third Amended Equity Distribution Agreement. The Company agreed to pay Piper Sandler a commission of up to 3.0% of the gross sales price of any shares sold pursuant to the Third Amended Equity Distribution Agreement.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Registered Direct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separate securities purchase agreements with certain purchasers to issue and sell pre</w:t>
        <w:noBreakHyphen/>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completed an underwritten registered direct offering (the 2025 RDO) and issued 24,485,799 shares of common stock at a price of $10.21 per share. Net proceeds from the 2025 RDO were $234.4 million, after deducting underwriting discounts and commissions and offering expenses of $15.6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Public Offering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 $188.7 million, after deducting offering commissions and expenses of $12.5 million. Refer to Note 7 for more information regarding the 2024 Pre-Funded 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Management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have been prepared assuming that the Company will continue as a going concern. As of February 28, 2026, the Company had cash, cash equivalents and marketable securities of $540.7 million and an accumulated deficit of $1.1 billion. Management believes that its cash, cash equivalents and short-term marketable securities are sufficient to continue operating activities for at least 12 months following the issuance date of these condensed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marketable securities are sufficient to continue operating activities for at least 12 months following the issuance date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financial statements have been prepared in accordance with U.S. generally accepted accounting principles (U.S. GAAP) and applicable rules and regulations of the SEC regarding interim financial reporting. The Company’s condensed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months ended February 28, 2026. The condensed balance sheet as of November 30, 2025,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2025, as filed with the SEC on January 28, 2026. These interim results are not necessarily indicative of results to be expected for the full fiscal year or any future interim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differ materially from those estimates. Refer to Note 3 for more information regarding the estimates related to revenue recognition.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of Credit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Risks and Uncertainties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requires management to make estimates and assumptions that affect the amounts reported in the condensed financial statements and accompanying notes. The extent to which the increasing financial market volatility and uncertainty may directly or indirectly impact the condensed financial statements is highly uncertain and subject to change.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relies on single source manufacturers and suppliers for the supply of its drug candidates. Disruption from these manufacturers or suppliers would have a negative impact on the Company’s business, financial position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2024-03—Income Statement—Reporting Comprehensive Income—Expense Disaggregation Disclosures (Subtopic 220-40): Disaggregation of Income Statement Expenses (ASU 2024-03),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in the process of evaluating the impact of this new guidance on its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the capitalizing of eligible costs is required. ASU 2025-06 is effective for annual periods beginning after December 15, 2027, and interim periods within those fiscal years. Early adoption is permitted. The Company is in the process of evaluating the impact of this new guidance on its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to the Company’s significant accounting policies during the three months ended February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Collaboration Agreements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Gilead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DEL-AI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the Company an upfront payment of $45.0 million plus $3.0 million in additional fees. In addition, from the signing of the Gilead Agreement to February 28, 2026, the Company has received payments of $47.0 million for research milestones and additional payments, $20.0 million for a license option exercise payment, $15.0 million in research term extension fees and $5.0 million for a clinical milestone payment. As of February 28, 2026, the Company is eligible to receive up to approximately $1.8 billion in total additional payments, including payments of up to $508.5 million upon the achievement of specified research and development milestones, up to $60.0 million in certain additional fees related to target licensing and reservation and up to $1.2 billion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February 28, 2026.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 The initial research term ended in the third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Gilead Research Term Extension, which has a term of two years and did not represent a material right at the inception of the Gilead Agreement because it does not contain a significant and incremental discount, is accounted for as a separate contract commencing in June 2024. The research term extension fee of $15.0 million is recognized as collaboration revenue using the cost-based input method over the estimated extended research term of two years, which represents the estimated timing of completion of the identified deliverables. As of February 28, 2026, no milestones have been achieved related to the extended research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February 28, 2026, the Company recognized collaboration revenue related to the Gilead Research Extension of $1.5 million, all of which was included in deferred revenue as of the beginning of the period. For the three months ended February 28, 2025, the Company recognized collaboration revenue related to the Gilead Research Extension of $1.7 million, all of which was related to the $15.0 million research term extension fee received in the second quarter of fiscal year 2024. As of February 28, 2026, deferred revenue related to the Gilead Agreement was $2.3 million, all of which was current. As of November 30, 2025, deferred revenue related to the Gilead Agreement was $3.8 million, all of which was current.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Sanofi</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DEL-AI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a key drug target in type 2 inflammation, by two years (the Sixth Sanofi Amendment), which increased overall forecasted costs and had an impact on revenue recognition.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the Company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the Company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February 28, 2026, the Company has received payments of $20.0 million for research milestones and $30.0 million for license extension fees. As of February 28, 2026, the Company is eligible to receive up to approximately $930.0 million in total additional payments, including payments of up to $180.0 million upon the achievement of specified research and development milestones, up to $250.0 million upon the achievement of specified regulatory milestones and up to $500.0 million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February 28, 2026.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$20.0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was extended as part of the Sixth Sanofi Amendment and a cumulative effect was recorded in the second quarter of fiscal year 2024. The research term ended in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February 28, 2026, the Company recognized no collaboration revenue related to the Sanofi Agreement. For the three months ended February 28, 2025, the Company recognized collaboration revenue related to the Sanofi Agreement of $12.8 million, of which $6.0 million was included in deferred revenue as of the beginning of the period, and $6.2 million was related to activities satisfied in previous periods. There was no deferred revenue related to the Sanofi Agreement as of February 28, 2026, and November 30, 2025, and all performance obligations were satisfied.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Pfizer Agreement, the Company received an upfront payment of $60.0 million. In addition, from the signing of the Pfizer Agreement to February 28, 2026, the Company has received payments of $15.0 million for research milestones. As of February 28, 2026, the Company is eligible to receive up to approximately $3.4 billion in contingent payments across multiple programs, including payments of up to $621.0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Pfizer Agreement: (1) the research licenses, (2) the research services, (3) the participation of a gatekeeper and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February 28, 2026.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achievement of research milestones, $15.0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not to extend beyond six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February 28, 2026, the Company recognized collaboration revenue related to the Pfizer Agreement of $4.7 million, all of which was included in deferred revenue as of the beginning of the period. For the three months ended February 28, 2025, the Company recognized collaboration revenue related to the Pfizer Agreement of $4.0 million, all of which was included in deferred revenue as of the beginning of the period. As of February 28, 2026, deferred revenue related to the Pfizer Agreement was $24.0 million, of which $16.5 million was current. As of November 30, 2025, deferred revenue related to the Pfizer Agreement was $23.8 million, of which $13.8 million was current, and included $5.0 million in contract assets representing the unbilled amount related to the research milestone achieved in November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Condensed Balance Sheet Components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6716" w:type="dxa"/>
        <w:jc w:val="center"/>
        <w:tblInd w:w="0" w:type="dxa"/>
        <w:tblLayout w:type="fixed"/>
        <w:tblCellMar>
          <w:top w:w="28" w:type="dxa"/>
          <w:left w:w="28" w:type="dxa"/>
          <w:bottom w:w="28" w:type="dxa"/>
          <w:right w:w="28" w:type="dxa"/>
        </w:tblCellMar>
      </w:tblPr>
      <w:tblGrid>
        <w:gridCol w:w="1504"/>
        <w:gridCol w:w="1322"/>
        <w:gridCol w:w="1328"/>
        <w:gridCol w:w="216"/>
        <w:gridCol w:w="738"/>
        <w:gridCol w:w="111"/>
        <w:gridCol w:w="109"/>
        <w:gridCol w:w="109"/>
        <w:gridCol w:w="109"/>
        <w:gridCol w:w="227"/>
        <w:gridCol w:w="777"/>
        <w:gridCol w:w="166"/>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in progress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21,697 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and Other Current Liabilities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consisted of the following (in thousands): </w:t>
      </w:r>
    </w:p>
    <w:tbl>
      <w:tblPr>
        <w:tblW w:w="6821" w:type="dxa"/>
        <w:jc w:val="center"/>
        <w:tblInd w:w="0" w:type="dxa"/>
        <w:tblLayout w:type="fixed"/>
        <w:tblCellMar>
          <w:top w:w="28" w:type="dxa"/>
          <w:left w:w="28" w:type="dxa"/>
          <w:bottom w:w="28" w:type="dxa"/>
          <w:right w:w="28" w:type="dxa"/>
        </w:tblCellMar>
      </w:tblPr>
      <w:tblGrid>
        <w:gridCol w:w="1543"/>
        <w:gridCol w:w="1353"/>
        <w:gridCol w:w="1363"/>
        <w:gridCol w:w="216"/>
        <w:gridCol w:w="738"/>
        <w:gridCol w:w="111"/>
        <w:gridCol w:w="109"/>
        <w:gridCol w:w="109"/>
        <w:gridCol w:w="109"/>
        <w:gridCol w:w="227"/>
        <w:gridCol w:w="777"/>
        <w:gridCol w:w="166"/>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research and lab supplies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1—Inputs that reflect unadjusted quoted prices in active markets for identical assets or liabilities that the Company has the ability to access at the measurement date;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2—Inputs other than quoted prices included within Level 1 that are observable for the asset or liability either directly or indirectly, including inputs in markets that are not considered to be active; and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3—Inputs that are unobservable.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investments, which consist of cash equivalents and available-for-sale marketable securities, that are measured at fair value on a recurring basis as of February 28, 2026, and November 30,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tbl>
      <w:tblPr>
        <w:tblW w:w="9928" w:type="dxa"/>
        <w:jc w:val="center"/>
        <w:tblInd w:w="0" w:type="dxa"/>
        <w:tblLayout w:type="fixed"/>
        <w:tblCellMar>
          <w:top w:w="28" w:type="dxa"/>
          <w:left w:w="28" w:type="dxa"/>
          <w:bottom w:w="28" w:type="dxa"/>
          <w:right w:w="28" w:type="dxa"/>
        </w:tblCellMar>
      </w:tblPr>
      <w:tblGrid>
        <w:gridCol w:w="1256"/>
        <w:gridCol w:w="1102"/>
        <w:gridCol w:w="1107"/>
        <w:gridCol w:w="109"/>
        <w:gridCol w:w="109"/>
        <w:gridCol w:w="109"/>
        <w:gridCol w:w="238"/>
        <w:gridCol w:w="238"/>
        <w:gridCol w:w="243"/>
        <w:gridCol w:w="109"/>
        <w:gridCol w:w="109"/>
        <w:gridCol w:w="109"/>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9928" w:type="dxa"/>
        <w:jc w:val="center"/>
        <w:tblInd w:w="0" w:type="dxa"/>
        <w:tblLayout w:type="fixed"/>
        <w:tblCellMar>
          <w:top w:w="28" w:type="dxa"/>
          <w:left w:w="28" w:type="dxa"/>
          <w:bottom w:w="28" w:type="dxa"/>
          <w:right w:w="28" w:type="dxa"/>
        </w:tblCellMar>
      </w:tblPr>
      <w:tblGrid>
        <w:gridCol w:w="1254"/>
        <w:gridCol w:w="1101"/>
        <w:gridCol w:w="1110"/>
        <w:gridCol w:w="109"/>
        <w:gridCol w:w="109"/>
        <w:gridCol w:w="109"/>
        <w:gridCol w:w="238"/>
        <w:gridCol w:w="238"/>
        <w:gridCol w:w="243"/>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available-for-sale marketable securities in an unrealized loss position for which an allowance for credit losses has not been recorded as of February 28, 2026, and November 30, 2025, aggregated by investment category and length of time in a continuous unrealized loss position (in thousands): </w:t>
      </w:r>
    </w:p>
    <w:tbl>
      <w:tblPr>
        <w:tblW w:w="10205" w:type="dxa"/>
        <w:jc w:val="left"/>
        <w:tblInd w:w="0" w:type="dxa"/>
        <w:tblLayout w:type="fixed"/>
        <w:tblCellMar>
          <w:top w:w="28" w:type="dxa"/>
          <w:left w:w="28" w:type="dxa"/>
          <w:bottom w:w="28" w:type="dxa"/>
          <w:right w:w="28" w:type="dxa"/>
        </w:tblCellMar>
      </w:tblPr>
      <w:tblGrid>
        <w:gridCol w:w="518"/>
        <w:gridCol w:w="417"/>
        <w:gridCol w:w="419"/>
        <w:gridCol w:w="109"/>
        <w:gridCol w:w="109"/>
        <w:gridCol w:w="109"/>
        <w:gridCol w:w="211"/>
        <w:gridCol w:w="826"/>
        <w:gridCol w:w="109"/>
        <w:gridCol w:w="109"/>
        <w:gridCol w:w="109"/>
        <w:gridCol w:w="109"/>
        <w:gridCol w:w="377"/>
        <w:gridCol w:w="674"/>
        <w:gridCol w:w="197"/>
        <w:gridCol w:w="109"/>
        <w:gridCol w:w="109"/>
        <w:gridCol w:w="109"/>
        <w:gridCol w:w="231"/>
        <w:gridCol w:w="445"/>
        <w:gridCol w:w="119"/>
        <w:gridCol w:w="111"/>
        <w:gridCol w:w="111"/>
        <w:gridCol w:w="111"/>
        <w:gridCol w:w="362"/>
        <w:gridCol w:w="697"/>
        <w:gridCol w:w="188"/>
        <w:gridCol w:w="109"/>
        <w:gridCol w:w="109"/>
        <w:gridCol w:w="109"/>
        <w:gridCol w:w="211"/>
        <w:gridCol w:w="826"/>
        <w:gridCol w:w="109"/>
        <w:gridCol w:w="109"/>
        <w:gridCol w:w="109"/>
        <w:gridCol w:w="109"/>
        <w:gridCol w:w="368"/>
        <w:gridCol w:w="656"/>
        <w:gridCol w:w="277"/>
      </w:tblGrid>
      <w:tr>
        <w:trPr/>
        <w:tc>
          <w:tcPr>
            <w:tcW w:w="51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
        <w:gridCol w:w="447"/>
        <w:gridCol w:w="451"/>
        <w:gridCol w:w="109"/>
        <w:gridCol w:w="109"/>
        <w:gridCol w:w="109"/>
        <w:gridCol w:w="211"/>
        <w:gridCol w:w="721"/>
        <w:gridCol w:w="109"/>
        <w:gridCol w:w="109"/>
        <w:gridCol w:w="109"/>
        <w:gridCol w:w="109"/>
        <w:gridCol w:w="391"/>
        <w:gridCol w:w="699"/>
        <w:gridCol w:w="204"/>
        <w:gridCol w:w="109"/>
        <w:gridCol w:w="109"/>
        <w:gridCol w:w="109"/>
        <w:gridCol w:w="233"/>
        <w:gridCol w:w="450"/>
        <w:gridCol w:w="120"/>
        <w:gridCol w:w="111"/>
        <w:gridCol w:w="111"/>
        <w:gridCol w:w="111"/>
        <w:gridCol w:w="375"/>
        <w:gridCol w:w="724"/>
        <w:gridCol w:w="195"/>
        <w:gridCol w:w="109"/>
        <w:gridCol w:w="109"/>
        <w:gridCol w:w="109"/>
        <w:gridCol w:w="211"/>
        <w:gridCol w:w="721"/>
        <w:gridCol w:w="109"/>
        <w:gridCol w:w="109"/>
        <w:gridCol w:w="109"/>
        <w:gridCol w:w="109"/>
        <w:gridCol w:w="381"/>
        <w:gridCol w:w="680"/>
        <w:gridCol w:w="289"/>
      </w:tblGrid>
      <w:tr>
        <w:trPr/>
        <w:tc>
          <w:tcPr>
            <w:tcW w:w="5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interest receivable related to the Company’s marketable securities was $2.4 million and $1.5 million as of February 28, 2026, and November 30, 2025, respectively, and was included in prepaid expenses and other current assets on the condensed balance sheet.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marketable securities in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months ended February 28, 2026 and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February 28, 2026, and November 30, 2025,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February 28, 2026, and November 30, 2025, no allowance for credit losses for the Company’s marketable securities was recorded. During the three months ended February 28, 2026 and 2025, the Company did not recognize any impairment losses related to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February 28, 2026, the Company was not a party to any material legal proceedings.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financial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condensed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Leases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leased office and laboratory facilities in San Francisco, California. The related lease agreements expired in accordance with their terms on December 31, 2025. The Company vacated the premises and has no further obligations under these agreements. Accordingly, the ROU assets and corresponding lease liabilities associated with these facilities were fully amortized and settled as of February 28, 2026.</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lease agreement (the Brisbane Lease) for the lease of approximately 159,959 square feet of office space located at 1600 Sierra Point Parkway, Brisbane, California for a research and development laboratory and office space. The lease commenced in March 2025 when the underlying assets became available for use and the Company recorded a $26.7 million ROU asset and lease liability on the condensed balance sheet. A security deposit of $2.4 million was also recorded in other assets, non-current on the condensed balance sheet. In addition, the lease provides for a tenant improvement allowance of approximately $8.0 million, which is expected to be fully utilized.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the Brisbane Lease was amended to include an additional 35,929 square feet of office space located at 1400 Sierra Point Parkway, Brisbane, California. The lease for the additional space commenced in June 2025 when the underlying assets became available for use and the Company recorded a $5.8 million ROU asset and lease liability on the condensed balance sheet. A security deposit of $0.5 million was also recorded in other assets, non-current on the condensed balance sheet. The Brisbane Lease, as amended, will expire on September 30, 2031, unless terminated earlier. Future minimum lease payments under the Brisbane Lease, as amended, total $52.3 million, which does not include the payment of additional rent to cover the Company’s share of annual operating and tax expenses and utilities costs for the building.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$0.9 million and $1.9 million for the three months ended February 28,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expenses, excluding variable lease payments, were $2.6 million and $2.2 million for the three months ended February 28, 2026 and 2025, respectively. Short-term lease expense was not material for the periods presented.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were as follows (in thousands):</w:t>
      </w:r>
    </w:p>
    <w:tbl>
      <w:tblPr>
        <w:tblW w:w="8517" w:type="dxa"/>
        <w:jc w:val="center"/>
        <w:tblInd w:w="0" w:type="dxa"/>
        <w:tblLayout w:type="fixed"/>
        <w:tblCellMar>
          <w:top w:w="28" w:type="dxa"/>
          <w:left w:w="28" w:type="dxa"/>
          <w:bottom w:w="28" w:type="dxa"/>
          <w:right w:w="28" w:type="dxa"/>
        </w:tblCellMar>
      </w:tblPr>
      <w:tblGrid>
        <w:gridCol w:w="2126"/>
        <w:gridCol w:w="1864"/>
        <w:gridCol w:w="1874"/>
        <w:gridCol w:w="267"/>
        <w:gridCol w:w="591"/>
        <w:gridCol w:w="138"/>
        <w:gridCol w:w="138"/>
        <w:gridCol w:w="138"/>
        <w:gridCol w:w="138"/>
        <w:gridCol w:w="267"/>
        <w:gridCol w:w="781"/>
        <w:gridCol w:w="195"/>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February 28,</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leases</w:t>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9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Restated Certificate of Incorporation authorizes the Company to issue up to 500,000,000 shares of common stock, $0.001 par value per share, as of February 28, 2026, and November 30, 2025. Holders of common stock are entitled to dividends when and if declared by the Company’s board of directors, subject to the prior rights of the holders of shares of preferred stock. The holder of each share of common stock is entitled to one vote. As of February 28, 2026, no dividends have been declared.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issued the 2022 Pre-Funded Warrants to purchase an aggregate of 6,814,920 shares of the Company’s common stock at a price of $13.939 per pre-funded warrant. As of February 28, 2026, a total of 6,097,560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issued the 2024 Pre-Funded Warrants to purchase an aggregate of 1,500,100 shares of the Company’s common stock at a price of $14.999 per pre-funded warrant. As of February 28, 2026, a total of 1,480,349 of the 2024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pre-funded warrants were classified as a component of permanent equity on the Company’s condensed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on an as-if converted basis consists of the following:</w:t>
      </w:r>
    </w:p>
    <w:tbl>
      <w:tblPr>
        <w:tblW w:w="8005" w:type="dxa"/>
        <w:jc w:val="left"/>
        <w:tblInd w:w="0" w:type="dxa"/>
        <w:tblLayout w:type="fixed"/>
        <w:tblCellMar>
          <w:top w:w="28" w:type="dxa"/>
          <w:left w:w="28" w:type="dxa"/>
          <w:bottom w:w="28" w:type="dxa"/>
          <w:right w:w="28" w:type="dxa"/>
        </w:tblCellMar>
      </w:tblPr>
      <w:tblGrid>
        <w:gridCol w:w="1972"/>
        <w:gridCol w:w="1734"/>
        <w:gridCol w:w="1738"/>
        <w:gridCol w:w="354"/>
        <w:gridCol w:w="354"/>
        <w:gridCol w:w="356"/>
        <w:gridCol w:w="109"/>
        <w:gridCol w:w="109"/>
        <w:gridCol w:w="109"/>
        <w:gridCol w:w="343"/>
        <w:gridCol w:w="343"/>
        <w:gridCol w:w="484"/>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12,805,474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3,373,929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equity grants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3,146,477</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employee stock purchase plan</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2,307,250</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 issued and outstanding</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future issuance</w:t>
            </w:r>
          </w:p>
        </w:tc>
        <w:tc>
          <w:tcPr>
            <w:tcW w:w="10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31,147,789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26,649,745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2020 Equity Incentive Plan (the 2020 Plan) serves as the successor to the Company’s 2012 Equity Incentive Plan (together with the 2020 Plan, the Stock Plans) and provides for the granting of stock options, stock appreciation rights, restricted stock units (RSUs), performance awards and stock bonus awards to employees, directors, consultants, independent contractors and advisors of the Company. As of February 28, 2026, the Company had 2,146,445 shares of common stock available for grant under the Stock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Board adopted and approved the Company’s 2024 Equity Inducement Plan (the 2024 Inducement Plan), which became effective on October 23, 2024. In accordance with Rule 5635(c)(4) of the Nasdaq listing rules, equity awards under the 2024 Inducement Plan may only be made to an employee if he or she is granted such awards in connection with the commencement of his or her employment with the Company and such grant is a material inducement to his or her entering into employment with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reserved 3,000,000 shares of common stock for issuance pursuant to non-qualified stock options and RSUs under the 2024 Inducement Plan. As of February 28, 2026, the Company had 2,102,700 shares of common stock available for grant under the 2024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Option activity under the Stock Plans and the 2024 Inducement Plan is set forth below: </w:t>
      </w:r>
    </w:p>
    <w:tbl>
      <w:tblPr>
        <w:tblW w:w="5268" w:type="dxa"/>
        <w:jc w:val="center"/>
        <w:tblInd w:w="0" w:type="dxa"/>
        <w:tblLayout w:type="fixed"/>
        <w:tblCellMar>
          <w:top w:w="28" w:type="dxa"/>
          <w:left w:w="28" w:type="dxa"/>
          <w:bottom w:w="28" w:type="dxa"/>
          <w:right w:w="28" w:type="dxa"/>
        </w:tblCellMar>
      </w:tblPr>
      <w:tblGrid>
        <w:gridCol w:w="1059"/>
        <w:gridCol w:w="931"/>
        <w:gridCol w:w="934"/>
        <w:gridCol w:w="344"/>
        <w:gridCol w:w="344"/>
        <w:gridCol w:w="348"/>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February 28, 2026</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12,805,474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 activity under the Stock Plans and 2024 Inducement Plan is set forth below:</w:t>
      </w:r>
    </w:p>
    <w:tbl>
      <w:tblPr>
        <w:tblW w:w="7614" w:type="dxa"/>
        <w:jc w:val="center"/>
        <w:tblInd w:w="0" w:type="dxa"/>
        <w:tblLayout w:type="fixed"/>
        <w:tblCellMar>
          <w:top w:w="28" w:type="dxa"/>
          <w:left w:w="28" w:type="dxa"/>
          <w:bottom w:w="28" w:type="dxa"/>
          <w:right w:w="28" w:type="dxa"/>
        </w:tblCellMar>
      </w:tblPr>
      <w:tblGrid>
        <w:gridCol w:w="1059"/>
        <w:gridCol w:w="931"/>
        <w:gridCol w:w="934"/>
        <w:gridCol w:w="439"/>
        <w:gridCol w:w="439"/>
        <w:gridCol w:w="441"/>
        <w:gridCol w:w="109"/>
        <w:gridCol w:w="109"/>
        <w:gridCol w:w="109"/>
        <w:gridCol w:w="653"/>
        <w:gridCol w:w="1912"/>
        <w:gridCol w:w="47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2025</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February 28, 2026</w:t>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3,373,929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Company’s 2020 Employee Stock Purchase Plan (the ESPP), eligible employees are entitled to purchase shares of common stock with accumulated payroll deductions. During the three months ended February 28, 2026, the Company issued 183,992 shares of common stock pursuant to the ESPP at a weighted-average price of $8.67 per share.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related to the Stock Plans, the 2024 Inducement Plan and the ESPP that is included in the Company’s condensed statements of operations is as follows (in thousands): </w:t>
      </w:r>
    </w:p>
    <w:tbl>
      <w:tblPr>
        <w:tblW w:w="5424" w:type="dxa"/>
        <w:jc w:val="center"/>
        <w:tblInd w:w="0" w:type="dxa"/>
        <w:tblLayout w:type="fixed"/>
        <w:tblCellMar>
          <w:top w:w="28" w:type="dxa"/>
          <w:left w:w="28" w:type="dxa"/>
          <w:bottom w:w="28" w:type="dxa"/>
          <w:right w:w="28" w:type="dxa"/>
        </w:tblCellMar>
      </w:tblPr>
      <w:tblGrid>
        <w:gridCol w:w="995"/>
        <w:gridCol w:w="872"/>
        <w:gridCol w:w="877"/>
        <w:gridCol w:w="211"/>
        <w:gridCol w:w="616"/>
        <w:gridCol w:w="109"/>
        <w:gridCol w:w="109"/>
        <w:gridCol w:w="109"/>
        <w:gridCol w:w="109"/>
        <w:gridCol w:w="211"/>
        <w:gridCol w:w="616"/>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February 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28, 2026, the total compensation cost related to stock-based awards not yet recognized was $89.8 million, which is expected to be amortized on a straight-line basis over the weighted-average remaining vesting period of approximately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Defined Contribution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$0.5 million for each of the three months ended February 28,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any current income tax expense or provision for the three months ended February 28, 2026 and 2025.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February 28, 2026 and 2025 due to the uncertainty of realizing future tax benefits from its net operating loss (NOL) carryforwards and other deferred tax assets.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In May 2025, the Company received new information from the FTB and remeasured the unrecognized tax benefit for California revenue sourcing, resulting in discrete tax expense. The Company entered into settlement procedures with the FTB in September 2025. All of the Company’s tax years will remain open for examination by the federal and state authorities for three and four years, respectively, from the date of the utilization of any NOLs.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United States. The OBBBA includes several significant tax provisions, such as the permanent extension of certain expiring provisions of the Tax Cuts and Jobs Act, modifications to the international tax framework and the restoration of certain business provisions. The legislation has multiple effective dates, with certain provisions effective in 2025 and others implemented through 2027. The Company will no longer be required to capitalize its domestic research and experimental costs under Section 174 of the Internal Revenue Code beginning with the tax year ending November 30, 2026. The enactment of OBBBA did not have a material impact on the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Company’s basic and diluted net loss per share attributable to common stockholders, which excludes shares which are legally outstanding but subject to repurchase by the Company (in thousands, except share and per share data): </w:t>
      </w:r>
    </w:p>
    <w:tbl>
      <w:tblPr>
        <w:tblW w:w="8750" w:type="dxa"/>
        <w:jc w:val="center"/>
        <w:tblInd w:w="0" w:type="dxa"/>
        <w:tblLayout w:type="fixed"/>
        <w:tblCellMar>
          <w:top w:w="28" w:type="dxa"/>
          <w:left w:w="28" w:type="dxa"/>
          <w:bottom w:w="28" w:type="dxa"/>
          <w:right w:w="28" w:type="dxa"/>
        </w:tblCellMar>
      </w:tblPr>
      <w:tblGrid>
        <w:gridCol w:w="2049"/>
        <w:gridCol w:w="1805"/>
        <w:gridCol w:w="1830"/>
        <w:gridCol w:w="227"/>
        <w:gridCol w:w="796"/>
        <w:gridCol w:w="119"/>
        <w:gridCol w:w="109"/>
        <w:gridCol w:w="109"/>
        <w:gridCol w:w="109"/>
        <w:gridCol w:w="211"/>
        <w:gridCol w:w="796"/>
        <w:gridCol w:w="109"/>
        <w:gridCol w:w="109"/>
        <w:gridCol w:w="109"/>
        <w:gridCol w:w="109"/>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February 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(87,174)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Weighted-average number of shares outstanding, basic and diluted</w:t>
            </w:r>
            <w:r>
              <w:rPr>
                <w:rFonts w:ascii="Times New Roman;serif" w:hAnsi="Times New Roman;serif"/>
                <w:b w:val="false"/>
                <w:color w:val="000000"/>
                <w:sz w:val="13"/>
              </w:rPr>
              <w:t>(1)</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110,071,668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83,560,795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weighted-average number of shares outstanding, basic and diluted, for the three months ended February 28, 2026 and 2025.</w:t>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were excluded from the computation of the diluted net loss per share of common stock for the periods presented because their effect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tbl>
      <w:tblPr>
        <w:tblW w:w="8215" w:type="dxa"/>
        <w:jc w:val="center"/>
        <w:tblInd w:w="0" w:type="dxa"/>
        <w:tblLayout w:type="fixed"/>
        <w:tblCellMar>
          <w:top w:w="28" w:type="dxa"/>
          <w:left w:w="28" w:type="dxa"/>
          <w:bottom w:w="28" w:type="dxa"/>
          <w:right w:w="28" w:type="dxa"/>
        </w:tblCellMar>
      </w:tblPr>
      <w:tblGrid>
        <w:gridCol w:w="2081"/>
        <w:gridCol w:w="1829"/>
        <w:gridCol w:w="1834"/>
        <w:gridCol w:w="344"/>
        <w:gridCol w:w="344"/>
        <w:gridCol w:w="348"/>
        <w:gridCol w:w="118"/>
        <w:gridCol w:w="118"/>
        <w:gridCol w:w="118"/>
        <w:gridCol w:w="315"/>
        <w:gridCol w:w="315"/>
        <w:gridCol w:w="451"/>
      </w:tblGrid>
      <w:tr>
        <w:trPr/>
        <w:tc>
          <w:tcPr>
            <w:tcW w:w="208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28,</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12,805,474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11,191,041</w:t>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3,373,929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3,026,060</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expected to be purchased under employee stock purchase plan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95,396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81,800</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16,274,799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14,298,901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Financial Officer is a trustee for the multiple employer welfare association that facilitates the acquisition and administration of the Company’s healthcare plans. Expenses related to the healthcare plan premiums were $1.5 million and $1.3 million for the three months ended February 28, 2026 and 2025, respectively. As of February 28, 2026, and November 30, 2025, the amount recorded in accounts payable and accrued expenses and other current liabilities in connection with this healthcare plan provider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as a single reportable and operating segment. The Company is in the business of discovery, development and commercialization of innovative targeted protein degradation medicines aimed at improving treatment options for patients with cancer and inflammatory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who reviews and evaluates net loss to monitor budget versus actual results and to analyze cash flows for purposes of allocating resources and assessing financial performance. The measure of segment assets is reported on the balance sheet as total assets. All of the Company's long-lived assets are located in the United States and all of the Company's revenue was derived from customers located in the United States.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allocate internal costs by product candidate. With respect to internal costs, several departments support multiple product candidate research and development programs, and therefore the costs cannot be allocated to a particular product candidate or development program.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significant expense categories included within net loss presented in the Company's statements of operations, disaggregated research and development expenses are as follows (in thousands):</w:t>
      </w:r>
    </w:p>
    <w:tbl>
      <w:tblPr>
        <w:tblW w:w="6362" w:type="dxa"/>
        <w:jc w:val="left"/>
        <w:tblInd w:w="0" w:type="dxa"/>
        <w:tblLayout w:type="fixed"/>
        <w:tblCellMar>
          <w:top w:w="28" w:type="dxa"/>
          <w:left w:w="28" w:type="dxa"/>
          <w:bottom w:w="28" w:type="dxa"/>
          <w:right w:w="28" w:type="dxa"/>
        </w:tblCellMar>
      </w:tblPr>
      <w:tblGrid>
        <w:gridCol w:w="1338"/>
        <w:gridCol w:w="1173"/>
        <w:gridCol w:w="1179"/>
        <w:gridCol w:w="211"/>
        <w:gridCol w:w="721"/>
        <w:gridCol w:w="109"/>
        <w:gridCol w:w="109"/>
        <w:gridCol w:w="109"/>
        <w:gridCol w:w="109"/>
        <w:gridCol w:w="211"/>
        <w:gridCol w:w="721"/>
        <w:gridCol w:w="109"/>
        <w:gridCol w:w="109"/>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February 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clinical development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Bexobrutideg (NX-5948)</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Zelebrudomide (NX-2127)</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NX-1607</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50,877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in conjunction with (1) the unaudited condensed financial statements and the related notes included in Part I, Item 1 of this Quarterly Report on Form 10</w:t>
        <w:noBreakHyphen/>
        <w:t>Q and (2) the audited financial statements and related notes and management’s discussion and analysis of financial condition and results of operations for the fiscal year ended November 30, 2025, included in our Annual Report on Form 10</w:t>
        <w:noBreakHyphen/>
        <w:t>K filed with the Securities and Exchange Commission (SEC) on January 28, 2026.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noBreakHyphen/>
        <w:t>Q.</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AI-integrated discovery engine capable of tackling any protein class, and coupled with leading ligase expertise, we have built a significant advantage in translating the science of protein degradation into clinical advancements with the aim of establishing degrader-based treatments at the forefront of patient care. We leverage our proprietary DEL-AI platform, employing advanced automated chemistry synthesis and direct-to-biology technologies, to rapidly generate degraders and degrader antibody conjugates (DACs) as first-in-class or best-in-class drug candidates.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Pfizer Inc. (Pfizer), within which we retain certain options for co-development, co-commercialization and profit sharing in the United States for multiple drug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Targeted Protein Degradation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portfolio of targeted protein degraders of the B</w:t>
        <w:noBreakHyphen/>
        <w:t>cell signaling protein BTK comprises bexobrutideg (NX</w:t>
        <w:noBreakHyphen/>
        <w:t>5948), an investigational, orally bioavailable, highly selective BTK degrader for the treatment of relapsed or refractory B-cell malignancies and potentially autoimmune diseases, and zelebrudomide (NX</w:t>
        <w:noBreakHyphen/>
        <w:t>2127), an investigational orally bioavailable degrader that simultaneously degrades BTK and two well-characterized cereblon neosubstrates IKZF1 (Ikaros) and IKZF3 (Aiolos) that are clinically validated transcription factor targets for relapsed or refractory B</w:t>
        <w:noBreakHyphen/>
        <w:t>cell malignancies.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Bexobrutideg (NX-5948): We are currently conducting a Phase 2 study of bexobrutideg in patients with relapsed or refractory CLL having failed three previous lines of therapy, specifically a covalent BTK inhibitor (cBTKi), a BCL2 inhibitor (BCL2i) and a non-covalent BTK inhibitor (ncBTKi). This study is designed as a potentially pivotal trial for Accelerated Approval in the United States and commenced in October 2025 upon FDA agreement for the use of the 600mg, once daily dose of bexobrutideg as determined by our Phase 1b study of both a 200mg and a 600mg dose in patients in accordance with the FDA’s Project Optimus. In January 2024, the U.S. Food and Drug Administration (FDA) granted Fast Track designation for bexobrutideg for the treatment of adult patients with relapsed or refractory chronic lymphocytic leukemia (CLL) or small lymphocytic lymphoma (SLL) after at least two lines of therapy, including a BTK inhibitor and a B-cell lymphoma 2 (BCL2) inhibitor. In November 2024, the European Medicines Agency (EMA) granted Priority Medicine (PRIME) designation for bexobrutideg in CLL or SLL after at least a BTK inhibitor and a BCL-2 inhibitor. In December 2024, the FDA granted Fast Track designation for bexobrutideg for the treatment of adult patients with Waldenstrom’s macroglobulinemia (WM) after at least two lines of therapy, including a BTK inhibitor.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Zelebrudomide (NX</w:t>
        <w:noBreakHyphen/>
        <w:t>2127): We are currently conducting a Phase 1a/1b dose-escalation and cohort expansion study of zelebrudomide in patients with relapsed or refractory B-cell malignancies. We previously initiated Phase 1b expansion cohorts for patients with relapsed CLL, diffuse large B-cell lymphoma (DLBCL) and mantle cell lymphoma (MCL). Enrollment was paused in 2023 due to a partial clinical hold stemming from a manufacturing change designed to produce a chirally controlled form of zelebrudomide. Enrollment of new patients in this clinical trial recommenced in August 2024 following resolution of the partial hold by the FDA. Dose escalation with the new drug form is ongoing with a focus on patients with aggressive forms of B-cell lymphoma, such as DLBCL and MCL.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Degradation Inhibitor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degradation inhibitor program includes NX-1607, an orally bioavailable inhibitor of CBL-B, an E3 ligase that regulates the activation of multiple immune cell types including T cells and NK cells. NX-1607 is targeted for immuno-oncology indications.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a Phase 1a/1b dose-escalation and cohort expansion study of NX-1607 in patients with a range of oncology indications. This study also included a cohort within the Phase 1a dose escalation study testing NX-1607 in combination with paclitaxel, a taxane chemotherapy commonly used across a range of relapsed and refractory solid tumor indications. In 2022, NX-1607 was awarded an Innovation Passport from the UK Medicines and Healthcare products Regulatory Agency to accelerate time to market and facilitate patient access to novel drugs to treat serious and life-threatening diseases.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Drug Discovery Pipeline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clinical stage drug candidates, we are advancing multiple preclinical-stage programs within our degradation portfolio, both on our own and with partners, by developing new targeted protein degraders and degrader antibody conjugates for several therapeutic indications that currently lack treatment options or where current therapies are ineffective. These existing and future programs have the potential to provide patients with better options in the therapeutic indications with significant unmet needs, including cancer, inflammation, autoimmunity and other challenging therapeutic areas.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several revenue generating collaborations with large biopharmaceutical companies, including Gilead, Sanofi and Pfizer, to leverage our DEL-AI platform for drug discovery. In aggregate, we have received $487.0 million in non-dilutive financing from our collaborators to date and, as of February 28, 2026, we are eligible to receive up to $6.1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Collaborations and License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Gilead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which we received in the second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us an upfront payment of $45.0 million, plus $3.0 million in additional fees. In addition, from the signing of the Gilead Agreement to February 28, 2026, we have received payments of $47.0 million for research milestones and additional payments, $20.0 million for a license option exercise payment, $15.0 million in research term extension fees and $5.0 million for a clinical milestone payment. As of February 28, 2026, we are eligible to receive up to approximately $1.8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Gilead Agreement of $1.5 million and $1.7 million during the three months ended February 28, 2026 and 2025, respectively. As of February 28, 2026 and November 30, 2025, there was $2.3 million and $3.8 million, respectively, of deferred revenue related to payments received by us under the Gilead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Sanofi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entered into the Fourth Amendment and Fifth Amendment, respectively, to the Sanofi Agreement to modify the research plan for certain targets, which had no impact on revenue recognition. In March 2024, we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we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we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February 28, 2026, we have received payments of $20.0 million for research milestones and $30.0 million for license extension fees. As of February 28, 2026, we are eligible to receive up to approximately $930.0 million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no collaboration revenue from the Sanofi Agreement during the three months ended February 28, 2026, and $12.8 million of collaboration revenue during the three months ended February 28, 2025. As of February 28, 2026 and November 30, 2025, there was no deferred revenue related to payments received by us under the Sanofi Agreement and all performance obligations were satisfied.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Pfizer Agreement, we received an upfront payment of $60.0 million. In addition, from the signing of the Pfizer Agreement to February 28, 2026, we have received payments of $15.0 million for research milestones.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Pfizer Agreement of $4.7 million and $4.0 million during the three months ended February 28, 2026 and 2025, respectively. As of February 28, 2026 and November 30, 2025, there was $24.0 million and $23.8 million, respectively, of deferred revenue related to payments received by us under the Pfizer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inception, we have generally incurred significant losses and negative cash flows from operations. During the three months ended February 28, 2026 and 2025, we incurred net losses of $87.2 million and $56.4 million, respectively. As of February 28, 2026, we had an accumulated deficit of $1.1 billion. These losses have resulted primarily from costs incurred in connection with research and development activities and general and administrative costs associated with our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DEL-AI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losses and cash flows may fluctuate significantly from period to period, depending on, among other things, variations in the level of expense related to the ongoing development of our drug candidates, our DEL-AI platform or future development programs; the delay, addition or termination of clinical trials; and the execution of any additional collaboration, licensing or similar arrangements, and the timing of payments we may make or receive under such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28, 2026, we had $540.7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Impact of Current Business, Political and Macroeconomic Conditions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Uncertainty in the business, political and macroeconomic environments present significant risks to our business. We are subject to continuing risks and uncertainties, including increasing financial market volatility and uncertainty, inflation, interest rate fluctuations, changing tariff policies and trade restrictions,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impacts on our clinical trial patients, employees, partners, suppliers, and vendors.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The ultimate impact of global and domestic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w:t>
      </w:r>
      <w:r>
        <w:rPr>
          <w:rFonts w:ascii="Times New Roman;serif" w:hAnsi="Times New Roman;serif"/>
          <w:b w:val="false"/>
          <w:color w:val="000000"/>
          <w:sz w:val="20"/>
          <w:shd w:fill="FFFFFF" w:val="clear"/>
        </w:rPr>
        <w:t>section titled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commercial sale and to date have not generated any revenue from the sale of products and do not expect to generate any revenue from the sale of products in the near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costs include: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payroll and personnel expenses, including benefits, stock-based compensation and travel expenses, for our research and development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costs associated with our research and development platform used across programs, process development, manufacturing and preclinical research and development for earlier stage programs and new technologies;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depreciation of research and development equipment, allocated overhead and facilities-related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External expenses for clinical development programs and other research and development expenses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fees paid to third parties such as consultants, contractors and contract research organizations to conduct our clinical trials, discovery programs and preclinical studies;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costs to acquire, develop and manufacture supplies for clinical trials and preclinical studies, including fees paid to third parties such as contract manufacturing organizations;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expenses related to laboratory supplies and services.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primarily consists of reserves for unrecognized tax benefits and state taxes. We have generated net operating losses since inception and have established a full valuation allowance against our deferred tax assets due to the uncertainty surrounding the realization of such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of our financial condition and results of operations is based on our condensed financial statements, which have been prepared in accordance with U.S. generally accepted accounting principles (U.S. GAAP).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and more significant areas involving management’s judgments and estimates used in preparation of our condensed financial statements are discussed in the section titled “Management’s Discussion and Analysis of Financial Condition and Results of Operations” in our Annual Report on Form 10-K for the fiscal year ended November 30, 2025. There have been no significant changes to these policies for the three months ended February 28,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Policies—Recently Adopted Accounting Pronouncements” to our condensed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February 28, 2026 and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summarized as follows (in thousands):</w:t>
      </w:r>
    </w:p>
    <w:tbl>
      <w:tblPr>
        <w:tblW w:w="7221" w:type="dxa"/>
        <w:jc w:val="center"/>
        <w:tblInd w:w="0" w:type="dxa"/>
        <w:tblLayout w:type="fixed"/>
        <w:tblCellMar>
          <w:top w:w="28" w:type="dxa"/>
          <w:left w:w="28" w:type="dxa"/>
          <w:bottom w:w="28" w:type="dxa"/>
          <w:right w:w="28" w:type="dxa"/>
        </w:tblCellMar>
      </w:tblPr>
      <w:tblGrid>
        <w:gridCol w:w="909"/>
        <w:gridCol w:w="802"/>
        <w:gridCol w:w="8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109"/>
        <w:gridCol w:w="109"/>
        <w:gridCol w:w="154"/>
      </w:tblGrid>
      <w:tr>
        <w:trPr/>
        <w:tc>
          <w:tcPr>
            <w:tcW w:w="9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is summarized as follows (in thousands):</w:t>
      </w:r>
    </w:p>
    <w:tbl>
      <w:tblPr>
        <w:tblW w:w="6831" w:type="dxa"/>
        <w:jc w:val="center"/>
        <w:tblInd w:w="0" w:type="dxa"/>
        <w:tblLayout w:type="fixed"/>
        <w:tblCellMar>
          <w:top w:w="28" w:type="dxa"/>
          <w:left w:w="28" w:type="dxa"/>
          <w:bottom w:w="28" w:type="dxa"/>
          <w:right w:w="28" w:type="dxa"/>
        </w:tblCellMar>
      </w:tblPr>
      <w:tblGrid>
        <w:gridCol w:w="861"/>
        <w:gridCol w:w="757"/>
        <w:gridCol w:w="767"/>
        <w:gridCol w:w="211"/>
        <w:gridCol w:w="616"/>
        <w:gridCol w:w="109"/>
        <w:gridCol w:w="109"/>
        <w:gridCol w:w="109"/>
        <w:gridCol w:w="109"/>
        <w:gridCol w:w="211"/>
        <w:gridCol w:w="721"/>
        <w:gridCol w:w="109"/>
        <w:gridCol w:w="109"/>
        <w:gridCol w:w="109"/>
        <w:gridCol w:w="109"/>
        <w:gridCol w:w="211"/>
        <w:gridCol w:w="796"/>
        <w:gridCol w:w="109"/>
        <w:gridCol w:w="109"/>
        <w:gridCol w:w="109"/>
        <w:gridCol w:w="109"/>
        <w:gridCol w:w="109"/>
        <w:gridCol w:w="109"/>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Gilead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Sanofi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collaboration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decreased by $12.2 million during the three months ended February 28, 2026, compared to the three months ended February 28, 2025, primarily due to decreased revenue from our collaboration with Sanofi as we concluded the initial research term for certain drug targets. The decrease in collaboration revenue was partially offset by the increase in revenue from our collaboration with Pfizer due to a higher percentage of completion of performance obligations in the current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increased by $14.5 million during the three months ended February 28, 2026, compared to the three months ended February 28, 2025. There was an increase in clinical, contract manufacturing and consulting costs as we continued to accelerate the enrollment of patients in the ongoing clinical trials of bexobrutideg (NX-5948) and prepare for the initiation of additional trials, and an increase in contract research costs to support our ongoing collaborations. There was also an increase in compensation and related personnel costs due to an increase in headcount.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increased by $3.0 million during the three months ended February 28, 2026, compared to the three months ended February 28, 2025. There was an increase in compensation and related personnel costs due to an increase in headcount.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subscriptions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3.0% of the gross sales price of any shares sold pursuant to the Equity Distribution Agreement. In June 2022, we issued and sold 2,000,000 shares of common stock under the Equity Distribution Agreement at a price of $10.00 per share for gross proceeds of $20.0 million, before deducting offering commissions and expenses paid by us. In May 2024, we issued and sold 3,194,809 shares of common stock under the Equity Distribution Agreement at various prices ranging from $15.50 to $16.00 per share for total gross proceeds of $50.2 million, before deducting offering commissions and expenses paid by us (the May 2024 ATM Financing).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subscriptions rights and/or units or any combination of securities described in the prospectus in one or more offerings. On July 11, 2024, we entered into Amendment No. 1 to the Equity Distribution Agreement (as amended, the Amended Equity Distribution Agreement), pursuant to which, from time to time, we could offer and sell through Piper Sandler up to $150.0 million of common stock registered under the Automatic Shelf Registration Statement pursuant to one or more “at the market” offerings. We were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gross proceeds of $42.9 million before deducting offering commissions and expenses paid by us (the August 2024 ATM Financing). In October 2024, we issued and sold 4,803,573 shares of common stock under the Amended Equity Distribution Agreement at various prices ranging from $21.50 to $25.00 per share for total gross proceeds of $107.1 million, before deducting offering commissions and expenses paid by us (the October 2024 ATM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we entered into Amendment No. 2 to the Equity Distribution Agreement (as amended, the Second Amended Equity Distribution Agreement), pursuant to which, from time to time, we could offer and sell through Piper Sandler up to $300.0 million of common stock registered under the Automatic Shelf Registration Statement pursuant to one or more “at the market” offerings. We were not required to sell any shares at any time during the term of the Second Amended Equity Distribution Agreement. We agreed to pay Piper Sandler a commission of up to 3.0% of the gross sales price of any shares sold pursuant to the Second Amended Equity Distribution Agreement. In November 2024, we issued and sold 3,634,393 shares of common stock under the Second Amended Equity Distribution Agreement at $26.25 per share for total gross proceeds of $95.4 million before deducting offering commissions and expenses paid by us (the November 2024 ATM Financing). In January 2026, we issued and sold 1,000,000 shares of common stock under the Second Amended Equity Distribution Agreement at a price of $18.25 per share for total gross proceeds of $18.3 million, before deducting offering commissions and expenses paid by us (the January 2026 ATM Financing). As of February 28, 2026, we had $186.3 million of common stock remaining available for sale under the Second Amended 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6, 2026, we entered into Amendment No. 3 to the Equity Distribution Agreement (as amended, the Third Amended Equity Distribution Agreement), pursuant to which, from time to time, we may offer and sell through Piper Sandler up to $413.65 million of common stock, which includes $113.65 million in gross proceeds sold under the Second Amended Equity Distribution Agreement, registered under the Automatic Shelf Registration Statement pursuant to one or more “at the market” offerings. We are not required to sell any shares at any time during the term of the Third Amended Equity Distribution Agreement. We agreed to pay Piper Sandler a commission of up to 3.0% of the gross sales price of any shares sold pursuant to the Third Amended 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we entered into separate securities purchase agreements with certain purchasers to issue and sell pre</w:t>
        <w:noBreakHyphen/>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February 28, 2026, a total of 6,097,560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February 28, 2026, a total of 1,480,349 of the 2024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we completed an underwritten registered direct offering (the 2025 RDO) and issued 24,485,799 shares of common stock at a price of $10.21 per share. The net proceeds from the 2025 RDO were $234.4 million, after deducting underwriting discounts and commissions and offering expenses of $15.6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28, 2026, our operations have primarily been funded through the net proceeds from equity offerings of $1.4 billion and proceeds from collaborations of $487.0 million. We do not have any products approved for sale, and we have not generated any revenue from product sales. As of February 28, 2026, we had $540.7 million in cash, cash equivalents and marketable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are sufficient to meet our cash requirements and continue operating activities, including the clinical trials of our drug candidates bexobrutideg (NX-5948), zelebrudomide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long term, our ability to support our working capital and capital expenditure requirements will depend on many factors, including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Phase 1 and Phase 2 clinical trials for our lead drug candidate bexobrutideg, our Phase 1 clinical trials for zelebrudomide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progress, costs and results of preclinical and clinical development for our other drug candidates and development programs;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number and development requirements of other drug candidates that we pursue;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of, and costs associated with, future advancements to our DEL-AI platform;</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success of our collaborations with Gilead, Sanofi, Pfizer and any other collaborations we may establish;</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regulatory review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future commercialization activities, including product manufacturing, marketing, sales and distribution, for any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revenue, if any, received from commercial sales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additional collaboration arrangements with other biotechnology or pharmaceutical companies on favorable terms, if at all, for the development or commercialization of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pStyle w:val="TextBody"/>
        <w:bidi w:val="0"/>
        <w:spacing w:lineRule="auto" w:line="276" w:before="120" w:after="283"/>
        <w:ind w:left="0" w:right="0" w:firstLine="720"/>
        <w:jc w:val="left"/>
        <w:rPr/>
      </w:pPr>
      <w:r>
        <w:rPr>
          <w:rFonts w:ascii="Times New Roman;serif" w:hAnsi="Times New Roman;serif"/>
          <w:b w:val="false"/>
          <w:color w:val="000000"/>
          <w:sz w:val="20"/>
          <w:shd w:fill="FFFFFF" w:val="clear"/>
        </w:rPr>
        <w:t xml:space="preserve">Our contractual obligations mostly consist of our operating lease obligations for facilities in Brisbane, California and The Woodlands, Texas. </w:t>
      </w:r>
      <w:r>
        <w:rPr>
          <w:rFonts w:ascii="Times New Roman;serif" w:hAnsi="Times New Roman;serif"/>
          <w:b w:val="false"/>
          <w:color w:val="000000"/>
          <w:sz w:val="20"/>
        </w:rPr>
        <w:t>Our total operating lease commitments as of February 28, 2026, were approximately $85.1 million, of which $8.2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are summarized as follows (in thousands): </w:t>
      </w:r>
    </w:p>
    <w:tbl>
      <w:tblPr>
        <w:tblW w:w="7449" w:type="dxa"/>
        <w:jc w:val="center"/>
        <w:tblInd w:w="0" w:type="dxa"/>
        <w:tblLayout w:type="fixed"/>
        <w:tblCellMar>
          <w:top w:w="28" w:type="dxa"/>
          <w:left w:w="28" w:type="dxa"/>
          <w:bottom w:w="28" w:type="dxa"/>
          <w:right w:w="28" w:type="dxa"/>
        </w:tblCellMar>
      </w:tblPr>
      <w:tblGrid>
        <w:gridCol w:w="1715"/>
        <w:gridCol w:w="1510"/>
        <w:gridCol w:w="1515"/>
        <w:gridCol w:w="211"/>
        <w:gridCol w:w="901"/>
        <w:gridCol w:w="109"/>
        <w:gridCol w:w="109"/>
        <w:gridCol w:w="109"/>
        <w:gridCol w:w="109"/>
        <w:gridCol w:w="211"/>
        <w:gridCol w:w="79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February 28,</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$71.9 million for the three months ended February 28, 2026, and consisted of a net loss of $87.2 million, offset by a decrease in net assets of $3.9 million and non-cash adjustments of $11.4 million. The decrease in net assets consisted of a decrease in deferred revenue of $1.3 million as we increased effort in our programs and recognized revenue, a decrease in accounts payable of $0.5 million from payments to vendors, a decrease in prepaid and other assets of $1.3 million primarily due to the recognition of expenses for prepaid services, offset by an increase in accrued expenses and other accrued liabilities of $4.1 million primarily due to the accrual of compensation and other related personnel costs and costs related to our clinical trials. Non-cash adjustments primarily consisted of stock-based compensation expenses of $9.4 million, depreciation and amortization expenses of $2.2 million and amortization of operating lease right-of-use (ROU) assets of $1.6 million, offset by net accretion of discount on marketable securities of $2.0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$61.1 million for the three months ended February 28, 2025, and consisted of a net loss of $56.4 million and an increase in net assets of $14.0 million, offset by non-cash adjustments of $9.3 million. The increase in net assets consisted of a decrease in deferred revenue of $9.8 million as we increased effort in our programs and recognized revenue, a decrease in operating lease liabilities of $1.7 million due to lease payments made during the period, a decrease in accounts payable of $3.2 million from payments to vendors, an increase in prepaid and other assets of $6.3 million primarily related to increased contract assets, prepaid clinical costs and software license costs, offset by an increase in accrued expenses and other liabilities of $6.9 million primarily due to the accrual of compensation and other related personnel costs and costs related to our clinical trials. Non-cash adjustments primarily consisted of stock-based compensation expenses of $8.7 million, depreciation and amortization expenses of $2.4 million and amortization of operating lease ROU assets of $1.8 million, offset by net accretion of discount on marketable securities of $3.6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$123.8 million for the three months ended February 28, 2026, and primarily consisted of the purchase of marketable securities of $255.9 million and the purchase of property and equipment of $1.0 million, partially offset by the maturity of marketable securities of $133.2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$25.5 million for the three months ended February 28, 2025, and primarily consisted of the maturity of marketable securities of $139.2 million, offset by the purchase of marketable securities of $110.2 million and the purchase of property and equipment of $3.5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$20.0 million for the three months ended February 28, 2026, and consisted primarily of proceeds from the January 2026 ATM financing and issuance of common stock under our Employee Stock Purchase Plan (ESPP).</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 million for the three months ended February 28, 2025, and consisted primarily of proceeds from the issuance of common stock under our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market risks, as of February 28, 2026, have not changed materially from those discussed in “Item 7A. Quantitative and Qualitative Disclosures About Market Risk” of Part II of our Annual Report on Form 10-K for the year ended November 30, 2025, filed with the SEC on January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February 28, 2026.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February 28,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February 28,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or condensed financial statements. Regardless of outcome, litigation can have an adverse impact on us due to defense and settlement costs, diversion of management resources, negative publicity and reputational harm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financial statements and related notes and the section titled “Management’s Discussion and Analysis of Financial Condition and Results of Operations.” These disclosures reflect our beliefs and opinions as to factors that could materially and adversely affect us and our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Need for Additional Capital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have incurred significant losses since our inception. We expect to incur losses over at least the next several years and may never achieve or maintain profitability.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 was $264.5 million for the fiscal year ended November 30, 2025, and $87.2 million for the three months ended February 28, 2026. As of February 28, 2026, we had an accumulated deficit of $1.1 billion. To date, we have not generated any revenue from product sales and have financed our operations primarily through our collaborations and sales of our equity interests. We are in the early stages of development of our drug candidates. Our lead drug candidates, bexobrutideg (NX-5948), zelebrudomide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increase enrollment in and further develop our drug candidates bexobrutideg, zelebrudomide and NX-1607 through Phase 1 and Phase 2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submit investigational new drug applications (INDs) and initiate clinical trials of our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enter advanced clinical development and scale up external manufacturing capabilities to supply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the capabilities of our DEL-AI platform and apply our DEL-AI platform to advance additional drug candidates into preclinical and clinical development;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conduct process development for manufacturing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seek marketing approvals for any drug candidates that successfully complete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prepare for negotiations with the pricing authorities and submission to the health technology appraisal (HTA) bodies;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ultimately establish a sales, marketing and distribution infrastructure and scale up external manufacturing capabilities to commercialize any drug candidates for which we may obtain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maintain and protect our intellectual property portfolio;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hire additional clinical, regulatory, manufacturing, quality assurance and scientific personnel;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 operational, financial and management information systems and personnel to support our research, product development and future commercialization efforts and support our operations as a public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could increase beyond our expectations if we are required by the U.S. Food and Drug Administration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never generated revenue from product sales and may never be profitable.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the early stages of clinical development of our lead drug candidates bexobrutideg, zelebrudomide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substantial additional funding. If we are unable to raise capital when needed, we may be required to delay, limit, reduce or terminate our research or product development programs or future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expenses to increase substantially in connection with our ongoing activities, particularly as we conduct our Phase 1 and Phase 2 clinical trials of bexobrutideg, zelebrudomide and NX-1607 and any future development of our drug candidates, grow our pipeline of drug candidates, expand the breadth of our DEL-AI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marketable securities of $540.7 million as of February 28, 2026.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Phase 1 and Phase 2 clinical trials for bexobrutideg, our Phase 1 clinical trials for zelebrudomide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progress, costs and results of preclinical and clinical development for our other drug candidates and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and development requirements of other drug candidates that we pursue;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of, and costs associated with, future advancements to our DEL-AI platform;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collaborations with Gilead Sciences, Inc. (Gilead), Sanofi S.A. (Sanofi) and Seagen Inc. (now a part of Pfizer Inc. (Pfizer)) and any other collaborations we may establish;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timing and outcome of regulatory review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negotiations with pricing authorities and health technology assessment authorities;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future commercialization activities, including product manufacturing, marketing, sales and distribution, for any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revenue, if any, received from commercial sales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establish additional collaboration arrangements with other biotechnology or pharmaceutical companies on favorable terms, if at all, for the development or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technologies or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limited operating history may make it difficult to evaluate the success of our business to date and to assess our future viability.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Discovery and Development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are early in our development efforts. Our lead drug candidates, bexobrutideg (NX-5948), zelebrudomide (NX-2127) and NX-1607, are in the early stages of clinical development. If we are unable to advance our drug candidates through clinical development or are unable to obtain regulatory approval for and commercialize our drug candidates or experience significant delays in doing so, our business may be materially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early in our development efforts. Our lead drug candidates, bexobrutideg, zelebrudomide and NX-1607, are in the early stages of clinical development and their risk of failure is high. We have invested substantially all of our efforts and financial resources in building our DEL-AI platform, in the identification and preclinical development of our current drug candidates, in the preparation for and initiation of Phase 1 clinical trials for our lead drug candidates and in the preparation for and initiation of the DAYBreak Phase 2 clinical trial evaluating bexobrutideg.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sufficiency of our financial and other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completion of preclinical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submission of INDs or Clinical Trial Applications and initiation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patient enrollment in, and completion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receipt and related terms of marketing approvals from applicable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patent and trade secret protection and regulatory exclusivity for our drug candidates as well as obtaining relevant exclusivity extensions (due to the conduct of pediatric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making arrangements with third-party manufacturers, or establishing manufacturing capabilities, for both clinical and commercial supplies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achieving desirable therapeutic properties for our drug candidates’ intended indications;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acceptance of our products, if and when approved, by patients, the medical community and third-party payors;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third-party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a continued acceptable safety profile of our drug candidates and maintaining such a profile following approval;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effectively competing with other therapies.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or the Scottish Medicines Consortium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One of our approaches to the discovery and development of drug candidates based on our targeted protein degradation platform is unproven, which makes it difficult to predict the time, cost of development and likelihood of successfully developing any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bexobrutideg and zelebrudomide degrade BTK with mutations that confer resistance to currently marketed BTK inhibitors, and we believe that preliminary data from our ongoing Phase 1 and Phase 2 trials of bexobrutideg and our Phase 1 trial of zelebrudomide may provide evidence of clinical benefit to patients with such resistance mutations. However, any inherent primary or acquired secondary resistance to our BTK degraders in patients would prevent or diminish their clinical benefit.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early stages of clinical development of bexobrutideg and zelebrudomide and we currently have limited safety data of bexobrutideg and zelebrudomide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educating medical personnel regarding the potential efficacy and safety benefits, as well as the challenges, of incorporating our drug candidates, if approved, into treatment regimens;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establishing the sales and marketing capabilities to gain market acceptance, if approved.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may prevent us from completing our preclinical studies or any clinical trials that we may initiate, or from commercializing any targeted protein degrader drug candidates we may develop on a timely or profitable basis, if at all.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Drug development is a lengthy and expensive process, with an uncertain outcome. We may incur unexpected costs or experience delays in completing, or ultimately be unable to complete, the development and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numerous unforeseen events during, or as a result of, clinical trials, that could delay or prevent our ability to receive marketing approval or commercialize our drug candidates,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experience delays in corresponding with the FDA or a foreign regulatory authority regarding regulatory issues;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 consensus with regulators on trial design;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agreement on acceptable clinical trial contracts or clinical trial protocols with prospective trial sites;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institutional review boards (IRBs) may not authorize us or our investigators to commence a clinical trial or conduct a clinical trial at a prospective trial site;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feedback from regulatory authorities that requires us to modify the design of our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face delays under human tissue act legislation and restrictions across various jurisdictions;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difficulty in designing clinical trials and in selecting endpoints for diseases that have not been well-studied and for which the natural history and course of the disease is poorly understood;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selection of certain clinical endpoints may require prolonged periods of clinical observation or analysis of the resulting data;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of patients required for clinical trials of our drug candidates may be larger than we anticipate, enrollment in these clinical trials may be slower than we anticipate or participants may drop out of these clinical trials at a higher rate than we anticipate;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drug candidates may have undesirable side effects or other unexpected characteristics, causing us or our investigators, regulators or IRBs to suspend or terminate the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third-party contractors may fail to comply with regulatory requirements or meet their contractual obligations to us in a timely manner, or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IRBs may require that we or our investigators suspend or terminate clinical trials for various reasons, including noncompliance with regulatory requirements;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clinical trials of our drug candidates may produce negative or inconclusive results, and we may decide, or regulators may require us, to conduct additional clinical trials or abandon product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 of clinical trials of our drug candidates may be greater than we anticipate;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supply or quality of our drug candidates or other materials necessary to conduct clinical trials of our drug candidates may be insufficient or inadequate;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drug candidates, or such requirements may not be as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any future collaborators that conduct clinical trials may face any of the above issues and may also conduct clinical trials in ways they view as advantageous to them but that are suboptimal for us;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disruptions caused by macroeconomic, political and market conditions, including supply chain disruptions, may increase the likelihood that we encounter such difficulties or delays in initiating, enrolling, conducting or completing our planned and ongoing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delayed in obtaining marketing approval for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not obtain marketing approval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for indications or patient populations that are not as broad as intended or desired;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with labeling that includes significant use or distribution restrictions or safety warnings;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subject to additional post-marketing testing requirements or changes in the way the product is administered;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have the product removed from the market after obtaining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bexobrutideg, zelebrudomide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serious adverse events, undesirable side effects or unexpected characteristics are identified during the development of any drug candidates we may develop, we may need to abandon or limit our further clinical development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bexobrutideg, zelebrudomide and NX-1607 in humans. There can be no assurance that our current drug candidates or any future drug candidate will not cause undesirable side effects. Unforeseen side effects from our drug candidates could arise at any time during preclinical or clinical development.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by our drug candidates in any of our current or future preclinical studies or clinical trials. There also is the potential risk of delayed adverse events following treatment with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results of preclinical studies and early-stage clinical trials may not be predictive of future results. Initial success in clinical trials may not be indicative of results obtained in later-stage trials or when these trials are completed.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preclinical studies may not be predictive of the results of clinical trials, and the results of any early-stage clinical trials we commence may not be predictive of the results of the later-stage clinical trials or when these trials are completed.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The results of our initial clinical trials for bexobrutideg, zelebrudomide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Interim top-line and preliminary data from our planned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published and may continue to publish interim top-line or preliminary data from our current and planned clinical trials. Interim data from clinical trials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experience delays or difficulties in enrolling patients in clinical trials, our receipt of necessary marketing approvals could be delayed or prevented.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bexobrutideg, zelebrudomide and NX-1607, and a Phase 2 clinical trial for bexobrutideg, and we expect to initiate a Phase 3 clinical trial for bexobrutideg in 2026. We cannot predict how difficult it will be to enroll patients for these trials. Therefore, our ability to identify and enroll eligible patients for our bexobrutideg, zelebrudomide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severity of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size of the patient population and process for identifying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and efficacy of approved medications for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eligibility criteria for the trial in question;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perceived risks and benefits of the drug candidates under study;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efforts to facilitate timely enrollment in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physicians’ attitudes and practices with respect to clinical trial enrollment;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burden on patients due to inconvenient procedures;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ability to monitor patients adequately during and after treatment;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proximity and availability of clinical trial sites for prospective patients.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drug candidate or indication and fail to capitalize on drug candidates or indications that may be more profitable or for which there is a greater likelihood of success.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manufacture of drugs is complex, and we and our third-party manufacturers are early in our manufacturing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zelebrudomide, the FDA placed a partial clinical hold on our ongoing Phase 1 clinical trial evaluating zelebrudomide. We actively engaged in discussions with FDA as part of our efforts to lift the partial clinical hold, and in March 2024, the FDA lifted the partial clinical hold. There can be no assurance that we can address any issues resulting in any partial or full clinical hold in a timely manner or at all, and we may incur additional expenses in connection with our efforts to address a partial or full clinical hold or advance our clinical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identify or discover additional potential drug candidates, or in further efforts to expand the breadth of our DEL-AI platform.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key element of our strategy is to apply our DEL-AI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research methodology used may not be successful in identifying potential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on further study, be shown to have harmful side effects or other characteristics that indicate that they are unlikely to be drugs that will receive marketing approval or achieve market acceptance;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not be effective in treating their targeted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intend to expand the capabilities of our DEL-AI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DEL-AI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DEL-AI platform.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face substantial competition in an environment of rapid technological change, which may result in others discovering, developing or commercializing products before or more successfully than we do.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degradation,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aware of a number of biotechnology companies focused on developing small molecules that degrade target proteins or inhibit E3 ligases, many of which currently are in preclinical or clinical development. In addition, certain large pharmaceutical companies have disclosed investments in this field. Furthermore, we are aware of multiple other BTK degrader programs in clinical development.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do not achieve our projected development goals in the time frames we expect and announce, the commercialization of our products may be delayed and, as a result, our stock price may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estimated market opportunities for our drug candidates are subject to numerous uncertainties and may prove to be inaccurate. If we have overestimated the size of our market opportunities, our future growth may be limited.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may result in an increase in both the frequency of such challenges and their odds of success by eliminating one way in which the government previously prevailed in such cases. As a result, significant regulatory policies may be subject to increased litigation and judicial scrutiny.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Dependence on Third Parties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involving our research programs or any drug candidates we may develop, including our collaborations with Gilead, Sanofi and Pfizer, pose risks to us,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collaborations with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delay clinical trials, provide insufficient funding for a clinical trial program, stop a clinical trial or abandon a drug candidate, repeat or conduct new clinical trials or require a new formulation of a drug candidate for clinical testing.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Disputes may arise between the collaborators and us that result in the delay or termination of the research, development or commercialization of our products or drug candidates or that result in costly litigation or arbitration that diverts management attention and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lose certain valuable rights under circumstances identified in our collaborations, including if we undergo a change of control. For example, Sanofi may terminate its agreement with us if we undergo a change of control.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seek to establish additional collaborations. If we are not able to establish collaborations on commercially reasonable terms, we may have to alter our development and commercialization plans.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 parties to conduct our clinical trials, and those third parties may not perform satisfactorily, including failing to meet deadlines for completing such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contract research organizations (CROs) to conduct our clinical trial programs for bexobrutideg, zelebrudomide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(GCPs), for conducting, recording and reporting the results of clinical trials to assure that data and reported results are credible and accurate and that the rights, integrity and confidentiality of trial participants are protected.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For example, the United States has imposed tariffs on non-U.S. goods, including those imported from China, where certain of our third-party manufacturers and suppliers are located. While we believe we currently have sufficient inventory for clinical use and do not anticipate any near-term impact to our clinical programs, we expect these tariffs may increase the cost of our product supply in the future. Such events could result in our clinical or commercial supply of drug, packaging and other services being interrupted or limited, which could harm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establish agreements with CMOs or to do so on acceptable terms. Even if we are able to establish agreements with CMOs, reliance on them entails additional risks,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reliance on the CMO for regulatory, compliance and quality assurance;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breach of the manufacturing agreement by the CMO;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misappropriation of our proprietary information, including our trade secrets and know-how;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termination or nonrenewal of the agreement by the CMO at a time that is costly or inconvenient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anticipated future dependence upon others for the manufacture of our drug candidates or products may adversely affect our future profit margins and our ability to commercialize any products that receive marketing approval on a timely and competitive basis.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Some of our suppliers may experience disruption to their respective supply chain due to the effects of macroeconomic conditions,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and production processes.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CMOs may be unable to successfully scale-up manufacturing of our drug candidates in sufficient quality and quantity, which would delay or prevent us from developing our drug candidates and commercializing approved products,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Commercialization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Even if any of our drug candidates receive marketing approval, a drug candidate may fail to achieve the degree of market acceptance by physicians, patients, third-party payors and others in the medical community necessary for commercial success.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efficacy and potential advantages compared to alternative treatments;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prevalence and severity of any side effects, in particular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offer our products for sale at competitive prices;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convenience and ease of administration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willingness of the target patient population to try new therapies and of physicians to prescribe these therapies;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strength of our marketing, sales and distribution support;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of third-party payor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ability to secure a positive HTA recommendation for the product to be prescribed and reimbursed under the national health system;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timing of any marketing approval in relation to other product approvals;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restrictions on the use of our products together with other medications.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establish sales and marketing capabilities, we may not be successful in commercializing our drug candidates if and when they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Factors that may inhibit our efforts to commercialize our products on our own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inability to recruit, train and retain adequate numbers of effective sales, marketing, reimbursement, customer service, medical affairs and other support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unforeseen costs and expenses associated with creating an independent sales and marketing organization.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commercialize any drug candidates, the products may become subject to unfavorable pricing regulations, third-party reimbursement practices or healthcare reform initiatives, or fail to secure a positive health technology assessment, which would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non-U.S.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Product liability lawsuits against us could cause us to incur substantial liabilities and to limit commercialization of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decreased demand for any drug candidates or products that we may develop;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termination of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marketing approval, recall, restriction on the approval or a “black box” warning or contraindication for an approved drug;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significant costs to defend the related litigation;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reduced resources of our management to pursue our business strategy;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inability to commercialize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inter partes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patent law in the United States and in non-U.S. jurisdictions could diminish the value of patents in general, thereby impairing our ability to protect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need to license intellectual property from third parties that may not be available to us or may not be available on commercially reasonable terms, and we may not be successful in obtaining or maintaining necessary rights to our drug candidates through acquisitions and in-licenses.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inter partes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inter partes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bexobrutideg and zelebrudomide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degradation therapies that target disease-causing proteins.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choose to challenge the enforceability or validity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the patents of our licensors, or other intellectual property, which could be expensive, time-consuming and unsuccessful.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drug candidates, approved products, programs or intellectual property could be diminished. Accordingly, the market price of shares of our common stock may decline. Such announcements could also harm our reputation or the market for our drug candidates, which could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pursue or guarantee protection of our intellectual property rights in jurisdictions outside the United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very little precedent for the court, increasing the uncertainty of any litigation. As a single court system can invalidate a European patent, we, where applicable, may opt out of the UPC, and as such, each European patent would need to be challenged in each individual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patent protection depends on compliance with various procedural, documentary, fee payment and other requirements imposed by governmental patent offices, and our patent protection could be reduced or eliminated for non-compliance with these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subject to claims challenging the inventorship or ownership of our patents and other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Intellectual property rights do not necessarily address all potential threats.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drug candidates utilizing issued patents and other intellectual property that we hold may prove to be ineffective for their intended treatment or we may not obtain regulatory approval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make the inventions covered by the issued patent or pending patent application that we own or license now or in the future;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file patent applications covering certain of our or their inventions;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it is possible that our pending owned patent applications or those that we may own or license in the future will not lead to issued patents;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claims of any current patents or patent issuing based on patent applications that we own may not provide protection against competitors or any competitive advantages or may be challenged by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issued patents that we may hold rights to in the future may be held invalid or unenforceable, including as a result of legal challenges by our competitors;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countries other than the United States may have patent laws less favorable to patentees than those upheld by U.S. courts, allowing foreign competitors a better opportunity to create, develop and market competing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enforce and/or defend our patent rights, a court may not hold that our patents are valid, enforceable and infringed;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fail to adequately protect and police our trademarks and trade secrets; and</w:t>
      </w:r>
    </w:p>
    <w:p>
      <w:pPr>
        <w:pStyle w:val="TextBody"/>
        <w:bidi w:val="0"/>
        <w:spacing w:lineRule="auto" w:line="276" w:before="120" w:after="283"/>
        <w:ind w:left="0" w:right="0" w:hanging="360"/>
        <w:jc w:val="left"/>
        <w:rPr/>
      </w:pPr>
      <w:r>
        <w:rPr>
          <w:color w:val="000000"/>
        </w:rPr>
        <w:t xml:space="preserve">• </w:t>
      </w:r>
      <w:r>
        <w:rPr>
          <w:rFonts w:ascii="Times New Roman;serif" w:hAnsi="Times New Roman;serif"/>
          <w:b w:val="false"/>
          <w:color w:val="000000"/>
          <w:sz w:val="20"/>
        </w:rPr>
        <w:t xml:space="preserve">the patents of others may have an adverse effect on our business, including if others obtain patents claiming subject matter similar to or improving subject matter that is covered by our patent applications.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Regulatory Approval and Marketing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The regulatory approval process of the FDA and other national or European regulators is lengthy, time-consuming and inherently unpredictable, and if we are ultimately unable to obtain marketing approval for our drug candidates, our business will be substantially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could be delayed or fail to receive marketing approval for many reasons,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our interpretation of data from preclinical studies or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the design or implementation of our planned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data collected from clinical trials of our drug candidates may not be sufficient to support the submission of an NDA to the FDA or other submissions necessary to obtain marketing approval in the United States;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to the satisfaction of the FDA that a drug candidate is safe and effective for its proposed indication;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significance required by the FDA for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that our drug candidates’ clinical and other benefits outweigh their safety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find deficiencies with or fail to approve the manufacturing processes or facilities of third-party manufacturers with which we contract for clinical and commercial supplies;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approval policies or regulations of the FDA may significantly change, including in a manner rendering our clinical data insufficient for approval or otherwise impacting the FDA’s review process and timing or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Fast Track designation for bexobrutideg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FDA granted Fast Track designation for bexobrutideg in the United States for the treatment of adult patients with relapsed or refractory CLL or small lymphocytic lymphoma after at least two lines of therapy, including a BTK inhibitory and a B-cell lymphoma 2 inhibitor, and in December 2024, the FDA granted Fast Track designation for bexobrutideg in the United States for the treatment of adult patients with relapsed or refractory Waldenström macroglobulinemia after at least two lines of therapy, including a BTK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 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FDA policies, a drug candidate is eligible for Priority Review, or review within a six-month time frame from the time a complete NDA is accepted for filing, if the drug candidate provides a significant improvement in the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and under the FDA’s draft guidance on “Accelerated Approval and Considerations for Determining Whether a Confirmatory Trial is Underway” made available in January 2025. If such confirmatory trials fail to confirm the drug’s clinical profile or risks and benefits, the FDA may withdraw its approval of the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 The FDA’s January 2025 draft guidance on “Accelerated Approval and Considerations for Determining Whether a Confirmatory Trial is Underway,” while not finalized, suggests that the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postapproval conduct of the trial provide sufficient assurance to expect timely completion of the trial, and (3) enrollment of the confirmatory trial has been initiated.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as a company, have limited experience in filing for and obtaining regulatory approval to initiate a clinical trial, and we do not have experience completing any pivotal clinical trials or in manufacturing or in quality assurance in order to market a new drug in the United States or in any other jurisdiction.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limited experience in filing for or obtaining regulatory approval to initiate clinical trials, we do not have experience completing any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Failure to obtain marketing approval in foreign jurisdictions would prevent our drug candidates from being marketed abroad and may limit our ability to generate revenue from product sales.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Due to the UK’s exit from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The UK government reached a new agreement with the EU, the “Windsor Framework,” which amended the Northern Ireland Protocol, pursuant to which, the EU pharmaceutical legal framework acquis continued to apply to Northern Ireland. According to the Windsor Framework, medicinal products intended for the UK market including Northern Ireland will be authorized by the MHRA and must bear a “UK only” label. This means that medicinal products placed on the market in Northern Ireland no longer need to be compliant with EU law. These new measures were implemented beginning January 1, 2025. </w:t>
      </w:r>
      <w:r>
        <w:rPr>
          <w:rFonts w:ascii="Times New Roman;serif" w:hAnsi="Times New Roman;serif"/>
          <w:b w:val="false"/>
          <w:color w:val="000000"/>
          <w:sz w:val="20"/>
          <w:shd w:fill="FFFFFF" w:val="clear"/>
        </w:rPr>
        <w:t xml:space="preserve">The TCA allows for future deviation from the current regulatory framework, and it is not known if and/or when any deviations may occur, which may have an impact on development, manufacture, </w:t>
      </w:r>
      <w:r>
        <w:rPr>
          <w:rFonts w:ascii="Times New Roman;serif" w:hAnsi="Times New Roman;serif"/>
          <w:b w:val="false"/>
          <w:color w:val="000000"/>
          <w:sz w:val="20"/>
        </w:rPr>
        <w:t xml:space="preserve">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or any collaborators, obtain marketing approvals for our drug candidates, the terms of approvals and ongoing regulation of our products may limit how we, or they, manufacture and market our products, which could materially impair our ability to generate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later discover that the drug is less effective than previously believed, or causes undesirable side effects that were not previously identified, or if issues with the manufacturing process or manufacturers arise, or if we fail to comply with regulatory requirements, a number of potentially significant negative consequences could result,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withdraw their approval of the drug or seize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recall the drug, change the way the drug is administered, conduct post-marketing studies or additional clinical trials, or withdraw the drug from the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additional restrictions may be imposed on the marketing, manufacturing processes, distribution, import or export, or use of the particular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be subject to litigation, fines, restitution, disgorgement of profits or revenues, injunctions or the imposition of civil or criminal penalties;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warning letters or untitled letters from regulatory authorities;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such as a “black box” warning or a contraindication, or impose other restrictions or warnings on the labeling or marketing of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create a Medication Guide outlining the risks of the previously unidentified side effects for distribution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authorities may refuse to approve pending applications or supplements to approved applications that we submit;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ongoing clinical trials may be suspended;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could be sued and held liable for harm caused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relationships with any potential collaborators may be damaged;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drug may become less competitive in the marketplace;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unfavorable press coverage;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and adverse effect on our operations and business and could adversely impact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The FDA has increased scrutiny of product claims and, in 2025, issued a significant number of enforcement actions to companies. Other jurisdictions, including European countries, have similar provisions which may lead to investigations and enforcement actions by national authorities.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Non-compliance with EU and UK requirements regarding safety monitoring or pharmacovigilance, or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Orphan Drug Designation for bexobrutideg (NX-5948) and may seek Orphan Drug Designation for other drug candidates in the future. If we decide to seek Orphan Drug Designation or other designations from regulators for any of our other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the FDA granted Orphan Drug Designation to bexobrutideg for the treatment of Waldenström macroglobulinemia, and in June 2025, the EMA granted Orphan Drug Designation to bexobrutideg for the treatment of adult patients with lymphoplasmacytic lymphoma, of which Waldenström macroglobulinemia is the most common subtype. As part of our business strategy, we may also seek Orphan Drug Designation or other designations from regulators for other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current EU general pharmaceutical legislative framework, in order to obtain orphan designation in the EEA (the UK has a similar legislation), the product must fulfill certain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however, important to note that under the new EU pharmaceutical reform package (the EU Pharma Package), which is expected to be fully implemented by the end of 2028, the orphan designation criteria will be amended to eliminate the alternative criterion based on insufficient return on investment, which has not been used in practice.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protections afforded to medicinal products, including data exclusivity, market protection, market exclusivity for orphan indications and pediatric extensions, are also currently being revised as part of the EU pharmaceutical reform package (the EU Pharma Package). The EU Council and the European Parliament agreed on the final compromise texts of the proposed Regulation and Directive on March 6, 2026. The legislation is undergoing further procedural steps prior to formal adoption by both institutions, and it is not expected that these aspects will change materially prior to adoption.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revised periods of regulatory protection are reflected in the agreed compromise texts. Under the proposed new framework, orphan medicinal products would benefit from a baseline period of 9 years of market exclusivity, which may be increased to 11 years for products qualifying as “breakthrough” orphan medicines. In each case, this exclusivity period may be further extended by up to two additional one-year periods for new orphan indications. While the legislation does not yet clearly define the criteria for “breakthrough” designation, the concept is expected to capture medicines addressing unmet medical needs. In addition, the new framework would retain the existing six-month supplementary protection certificate (SPC) extension as a pediatric reward for the completion of studies in accordance with an agreed pediatric investigation plan (PIP).</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compromise texts also introduce changes to the general regulatory exclusivity regime. Non-orphan medicinal products would benefit from a baseline period of eight years of regulatory data protection (RDP) and one year of market protection, with the possibility of up to two additional one-year extensions in specified circumstances. However, these periods of protection may be reduced or lost if the marketing authorization holder fails to comply with a Member State request to launch the product in that Member State, or fails to ensure continuous and sufficient supply of the product to meet patient needs within the required timeframe.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adopted acts are expected to enter into force in 2026, followed by a 24-month transition period. Accordingly, the new legislation is expected to become fully applicable by the end of 2028. Products for which a marketing authorization application is submitted before the entry into force of the new legislation are expected to continue to benefit from the existing regulatory protection regime. The revised protection periods would apply only to products for which marketing authorization applications are submitted after the new legislation becomes fully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UK marketing authorization).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or when it is implemented, will also affect the current EU legal framework of pediatric medicines.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 Pharma Package, as reflected in the compromise texts agreed between the EU Council and the European Parliament on March 6, 2026, would substantially revise the current pediatric framework by integrating it into the broader pharmaceutical legislation. While the six-month SPC extension would be retained, the additional two-year extension of orphan market exclusivity for pediatric indications would be removed. The revised framework would also narrow the availability of waivers, introduce a new “initial PIP” mechanism in specified circumstances, and limit deferrals to a maximum duration of five years. In addition, it would require that medicinal products authorized for a pediatric indication be placed on the market in all Member States where other indications of the same product have been authorized.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changes would apply only once the new legislation becomes fully applicable, which is currently expected to occur at the end of 2028, following entry into force expected at the end of 2026 and a 24-month transition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U.S. federal and state and non-U.S. healthcare laws and regulations include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healthcare benefits;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pharmaceutical companies to comply with the pharmaceutical industry’s voluntary compliance guidelines and relevant compliance guidance promulgated by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drug manufacturers to report information related to payments and other transfers of value to physicians and other healthcare providers or marketing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foreign laws that govern the privacy and security of health information in some circumstances, many of which differ from each other in significant ways and often are not preempted by HIPAA, thus complicating compliance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with respect to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at the FDA may slow the time necessary for new products to be reviewed and/or approved,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Federal government shutdowns pose comparable risks. The U.S. government has experienced several shutdowns, including in 2025, during which regulatory agencies such as the FDA have furloughed critical employees and suspended critical activities. A prolonged government shutdown, or geopolitical or global health concerns that prevent the FDA from conducting regular inspections, reviews, or other regulatory activities, could significantly impact the FDA’s ability to timely review and process our regulatory submissions, which could have a material adverse effect on our business. Such disruptions could delay the development of our product candidates or prevent us from obtaining timely regulatory approvals. Further, future government shutdowns or delays could impact our ability to access the public markets and obtain necessary capital in order to properly capitalize and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FDA-regulated industries, such as ours, face uncertainty with regard to the regulatory environment we will face as we proceed with research and development, and possibly in future commercialization. Some of these efforts have manifested to date in the form of FDA reductions in workforce or other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additional changes to budget and staffing of other governmental agencies, including but not limited to those within the Department of Health and Human Services (HHS), could affect development activities such as enrollment and conduct of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remains general uncertainty regarding future activities. New executive orders, regulations, policies or guidance could be issued or promulgated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in connection with new initiatives, 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Current and future legislation may increase the difficulty and cost for us, and any collaborators, to obtain marketing approval of and commercialize our drug candidates and affect the prices we, or they, may obtain.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as of 2023, penalize drug companies that raise prices for products covered under Medicare Parts B and D faster than inflation, among other reforms. CMS has and continues to take steps to implement the IRA, including negotiating and publishing “maximum fair prices” for drugs selected under the IRA’s price negotiation framework and releasing quarterly lists of Medicare Part B products and annual lists of Medicare Part D products that are subject to adjusted coinsurance rates based on the inflationary rebate provisions of the IRA. Additionally, when originally enacted, the IRA explicitly excluded from price negotiation orphan drugs designated for only one rare disease or condition and for which the only active approved indication is for such disease or condition. However, the One Big Beautiful Bill Act (OBBBA) signed into law on July 4, 2025, amended the applicable statute to broaden the orphan drug exclusion such that products with more than one orphan designation and more than one approved indication will remain exempt from price negotiation, so long as each approved indication is for a rare disease or condition. The OBBBA also postpones the start of price negotiation requirements for drugs and biologics with orphan designations until the product receives approval for a non-orphan indication.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unclear how future regulatory actions to implement the IRA, as well as the outcome of pending litigation against the IRA, may affect our products and future profitability, and we cannot predict the likelihood, nature, or extent of other health reform initiatives that may arise from future legislation or administrative actions.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Moreover, recent healthcare regulatory developments indicate that prescription drug price reduction remains a key policy objective for the current presidential administration. </w:t>
      </w:r>
      <w:r>
        <w:rPr>
          <w:rFonts w:ascii="Times New Roman;serif" w:hAnsi="Times New Roman;serif"/>
          <w:b w:val="false"/>
          <w:color w:val="000000"/>
          <w:sz w:val="20"/>
          <w:u w:val="single"/>
        </w:rPr>
        <w:t>The current presidential administration has also signaled its intent to pursue additional healthcare reform measures, including those aimed at reducing prescription drug prices, through various means, including presidential executive orders and agency action. These efforts include, among other things, proposals to establish a “most favored nation” drug pricing policy that would tie U.S. drug prices to the prices paid for drugs in other countries. It remains to be seen how these drug pricing initiatives will affect the broader pharmaceutical industry</w:t>
      </w:r>
      <w:r>
        <w:rPr>
          <w:rFonts w:ascii="Times New Roman;serif" w:hAnsi="Times New Roman;serif"/>
          <w:b w:val="false"/>
          <w:color w:val="000000"/>
          <w:sz w:val="20"/>
        </w:rPr>
        <w: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on June 28, 2024, the U.S. Supreme Court issued an opinion holding that courts reviewing agency action pursuant to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Another emerging trend at the state level is the establishment of prescription drug affordability boards, some of which will prospectively permit certain states to establish upper payment limits for drugs that the state has determined to be “high-cost.” Prescription drug affordability boards in several states, including Colorado, Maryland, Oregon, and Washington, have begun identifying products for affordability reviews and issuing information requests to manufacturers to determine whether upper payment limits may be justified.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Governments outside of the United States tend to impose strict price controls, which may adversely affect our revenues from the sales of drugs,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As of January 12, 2025, EU Health Technology Regulation No. 2021/2282 became applicable in respect of new oncology medicines. Regulation No. 2021/2282 imposes a new procedure, a joint clinical assessment at a centralized level, as a mandatory step for the assessment of the pricing and reimbursement of medicinal products by national authorities. It requires companies applying for products in scope to make relevant submissions for the joint clinical assessment, in line with a number of prespecified criteria.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reimbursement of our drugs is unavailable or limited in scope or amount, or if pricing is set at unsatisfactory levels, our business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following the executive order of the Trump Administration of May 12, 2025, titled “Delivering Most-Favored-Nation Prescription Drug Pricing to American Patients,” there may be an unpredictable effect on prices of medicinal products in European countries. The Executive Order directs federal agencies to implement policies that would align U.S. prescription drug prices with the lowest prices paid by other comparable nations and mandates the Secretary of HHS to communicate “most-favored-nation” price targets to pharmaceutical manufacturers and, if significant progress is not achieved, to propose rulemaking to impose “most-favored nation” pricing across federal healthcare programs and potentially the private market. For additional information, see the risk factor above titled “Current and future legislation may increase the difficulty and cost for us, and any collaborators, to obtain marketing approval of and commercialize our drug candidates and affect the prices we, or they, may obtain.” This policy may introduce significant risks to our future pricing strategies, revenue, and profitability in the U.S. market. Additionally, the Executive Order instructs the Department of Commerce and the U.S. Trade Representative to take action against foreign countries that engage in practices suppressing drug prices below fair market value, which could lead to increased pricing pressures or regulatory changes in international markets. These developments, depending on whether and how they may be enacted, may adversely affect our global operations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Employees, Managing our Growth and Other Legal Matters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attract and retain management and other key personnel, we may be unable to continue to successfully develop our current and any future drug candidates, commercialize our drug candidates or otherwise implement our business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to grow our organization, and we may experience difficulties in managing this growth, which could disrupt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we currently have three drug candidates in ongoing Phase 1 trials, and we initiated a Phase 2 clinical trial for bexobrutideg in October 2025.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vendors, principal investigators, CROs and consultants may engage in misconduct or other improper activities, including non-compliance with regulatory standards and requirements and insider trading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vendors, principal investigators, CROs and consultants may engage in fraudulent conduct or other illegal activity. Misconduct by these parties could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intentional, reckless or negligent conduct or disclosure to us of unauthorized activities that violate the regulations of the FDA or similar foreign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healthcare fraud and abuse in violation of U.S. and foreign laws and regulations;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violations of U.S. federal securities laws relating to trading in our common stock;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failures to report financial information or data accurately.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information technology systems, infrastructure and data to operate our business. In the ordinary course of our business, we collect, store and transmit large amounts of confidential and sensitive information, including but not limited to intellectual property, proprietary business information and personal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distributed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or sensitive information (including trade secrets or other intellectual property, proprietary business information, and personal information), which could result in financial, legal, business, and reputational harm to us. If any such event, including a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international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as later amended by the California Privacy Rights Act (CCPA), which provides for a private right of action in the event of certain data security breaches. Additionally, the SEC adopted a cybersecurity disclosure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obtain and process a large amount of proprietary and sensitive data. Any real or perceived improper use of, disclosure of, or access to such data could harm our reputation, as well as have an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 variety of stringent and changing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CROs,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On April 22, 2024, HHS issued a Final Rule, the HIPAA Privacy Rule to Support Reproductive Health Care Privacy, which is intended to strengthen the HIPAA Privacy Rule by prohibiting the disclosure of protected health information related to lawful reproductive healthcare in certain circumstances.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Trade Commission (FTC) has authority under Section 5 of the FTC Act to regulate unfair or deceptive practices, and has used this authority to initiate enforcement actions against companies that implement inadequate controls around privacy and information security in violation of their externally facing policies. The FTC, as well as state attorneys general, have taken enforcement action against companies that do not abide by their representations to consumers regarding electronic security and privacy, including with respect to health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states have shown an increased interest in regulating the processing of personal information in general and specifically in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also took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Virginia also recently updated its Consumer Protection Act for certain health information and other states are considering health privacy legislation.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Personal information privacy remains an evolving landscape at both the U.S. state and international level, with new regulations coming into effect. For example, the CCPA, which came into effect on January 1, 2020, and was amended and expanded by the California Privacy Rights Act as of January 1, 2023, provides California residents expanded privacy rights, including the right to request correction, access, and deletion of their personal information, the right to opt out of personal information sharing with certain third parties for cross-context behavioral advertising purposes, the right to limit the use of sensitive personal information,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state agency that is charged with creating new rules and enforcing the CCPA, and the California Attorney General, who also still maintains some CCPA enforcement powers. Notably, following California’s lead, over a third of other U.S. states enacted or proposed privacy laws that contain obligations similar to the CCPA that have taken effect or will take effect in coming years. In addition, a comprehensive federal privacy bill, which includes a private right of action for violations, has been proposed and is under review by the U.S. House of Representatives. While these new laws and proposals generally include exemptions for HIPAA-covered data and clinical trial data, they add layers of complexity to compliance in the U.S. market and could increase our compliance costs and adversely affect our business. Compliance with this new and evolving privacy legislation adds complexity and may require investment in additional resources for compliance programs, thus potentially result in additional costs and expense of resources to maintain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the EU GDPR governs the collection, use, disclosure, transfer, or other processing of personal data. The UK has implemented the EU GDPR as the UK GDPR, which sits alongside the UK Data Protection Act 2018; the UK Data Protection Act 2018 has been amended by the UK Data (Use and Access) Act 2025, which implements certain changes in relation to the UK GDPR and reforms the use of personal and non-personal data (the UK GDPR together with the EU GDPR, the GDPR). The GDPR imposes compliance obligations on controllers (and in more limited cases, on processors), including (among others) granting certain privacy rights to individuals to control how companies collect, use, disclose, retain and otherwise process their personal data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(i) relevant data protection supervisory authorities of personal data breaches without undue delay (and no later than 72 hours) after becoming aware of the personal data breach, unless the personal data breach is unlikely to result in a risk to the data subjects’ rights and freedoms; and (ii) affected individuals, where the personal data breach is likely to result in a high risk to their rights and freedoms, whereas processors are required to notify the controller without undue delay after becoming aware of a personal data breach, and the requirement to provide more detailed notices for clinical trial subjects and investigators. In addition, the EU GDPR prohibits the international transfer of personal data originating in the EEA (including, from clinical trial sites and other third parties (e.g., CROs)) to jurisdictions that the European Commission does not recognize as having ‘adequate’ data protection laws, unless a data transfer mechanism has been put in place or a derogation under the EU GDPR can be relied upon. In certain cases, for example, when transfers are made in reliance on standard contractual clauses (EU SCCs), there is a requirement for companies to carry out a transfer impact assessment (TIA)—which (among other things) assesses laws governing access to personal data in the recipient country and considers whether supplementary measures that provide privacy protections additional to those provided under EU SCCs—will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UK GDPR, companies not established in the UK but who process personal data in relation to the offering of goods or services to individuals in the UK, or to the monitoring of the behavior of individuals in the UK, will be subject to the UK GDPR. On December 19, 2025, the European Commission adopted its most recent adequacy decision in favor of the UK, enabling data transfers from EU Member States to the UK without additional safeguards until December 27, 2031.</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UK GDPR also imposes similar restrictions on transfers of personal data from the UK to jurisdictions that the UK Government does not consider adequate, including the United States. The UK’s Information Commissioner’s Office published: (i) its own form of EU SCCs, known as the International Data Transfer Agreement; (ii) a “UK addendum” to the EU SCCs which amends the relevant provisions of such clauses to work in a UK context; and (iii)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be transferred from the UK under the UK-U.S. data bridge through the UK extension to the DPF to organizations self-certified under the UK extension to the DPF.</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the DPF in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invested, and expect to continue to invest, significant time and resources in our DPF certification and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their own legal requirements for cross-border transfers of personal information. These obligations may be interpreted and applied in a manner that is inconsistent from one jurisdiction to another and may conflict with other requirements or our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artificial intelligence in our business, and challenges with properly managing its use could result in reputational harm, competitive harm, and legal liability, and adversely affect our results of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leverage artificial intelligence (AI) into certain aspects of our operations, including through our proprietary DEL-AI platform, which employs machine learning across all aspects of the discovery process. However, our competitors and other third parties may incorporate AI into their operations and processes more quickly or more successfully than us, which could impair our ability to compete effectively and adversely affect our results of operations. Additionally, if the output that AI applications assist in producing are or are alleged to be inaccurate, deficient, or biased, our business, financial condition, and results of operations may be adversely affected. Furthermore, the integration of third-party AI models with our operations relies on certain safeguards implemented by the third-party developers of the underlying AI models, including those related to the accuracy, bias, and other variables of the data, and these safeguards may be insufficient. The use of AI applications has resulted in, and may in the future result in, cybersecurity incidents that implicate the data analyzed within such applications. Any such cybersecurity incidents related to our use of AI applications to analyze data could adversely affect our reputation and results of operations. AI also presents emerging ethical issues and if our use of AI becomes controversial, we may experience brand or reputational harm, competitive harm, or legal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Legislation and regulations governing the development and use of AI have been passed or are under consideration in the United States at the state and local level, as well as internationally. As a result, the ability to use artificial intelligence and machine learning may be constrained by current or future laws, regulatory or self-regulatory requirements. The rapid evolution of AI, including regulation of AI and it various uses, will require significant resources to develop, test and maintain our platforms and AI operations to help us implement AI ethically in order to minimize unintended, harmful impact.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 federal income tax reform and changes in other tax laws could adversely affect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 Further, beginning with our 2025 tax year, the One Big Beautiful Bill Act restored immediate deductibility of domestic expenditures, while foreign expenditures will continue to be capitalized and amortized over 15 years.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may be subject to limitations.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do not expect to become profitable in the near future and may never achieve profitability. As of November 30, 2025, we had federal and state net operating loss (NOL) carryforwards of approximately $323.4 million and $507.7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R&amp;D credit carryovers) to offset its post-change income or post-change income tax may be limited. We have identified two ownership changes since our inception that have triggered a limitation on pre-change NOLs under Sections 382 and 383.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R&amp;D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acquisitions, joint ventures, spin outs or strategic alliances or transactions could disrupt our business and harm our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diversion of management time and focus from operating our business to addressing acquisition integration challenges;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coordination of research and development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retention of key employees from the acquired company;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relationships with strategic partners as a result of product acquisitions or strategic positioning resulting from the acquisition;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cultural challenges associated with integrating employees from the acquired company into our organization;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unanticipated write-offs or charges;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litigation or other claims in connection with the acquired company, including claims from terminated employees, customers, former stockholders or other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are subject to other laws and regulations governing our international operations, including regulations administered by the governments of the United States, UK and authorities in the EU, including U.S. export controls, including the U.S. Department of Commerce’s Export Administration Regulations, and U.S. economic sanctions, trade sanctions regulations administered by the U.S. Department of the Treasury’s Office of Foreign Assets Controls, including restrictions or prohibitions on the sale or supply of certain products and services to U.S.-embargoed or sanctioned countries, governments, persons and entities, and other applicable export control regulations, customs requirements and currency exchange regulations, which we collectively refer to as Trade Control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environmental, health and safety laws and regulations, we could become subject to fines or penalties or incur costs that could significantly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Unfavorable global economic conditions could adversely affect our business, financial condition, stock price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Moreover, there have been concerns in recent years with respect to the stability of the global banking system. For example, in March 2023, Silicon Valley Bank (SVB), which was one of our banking partners, was closed by the California Department of Financial Protection and Innovation, which appointed the Federal Deposit Insurance Corporation (FDIC) as receiver, and in March 2023, Silvergate Capital Corp. and Signature Bank were similarly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exposed to foreign exchange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portions of our expenses, and may in the future derive revenues, in a variety of currencies. As a result, we may be exposed to foreign currency exchange risk as our results of operations and cash flows are subject to fluctuations in foreign currency exchange rates. If in the future we incur greater portions of our expenses, or derive future revenues, from foreign currencies, fluctuations in currency exchange rates could have an impact on our results as expressed in U.S. dollars. In addition, recent actions taken by the U.S. government may further impact the value of the U.S. dollar relative to other currencies, which may have the result of increasing the portions of our expenses which are realized in other currencies.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current operations are in the San Francisco Bay Area and The Woodlands, Texas, and we or the third parties upon whom we depend may be adversely affected by earthquakes or other natural disasters as to which our business continuity and disaster recovery plans may not be adequate to protect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operations are located in our facilities in the San Francisco Bay Area in California and in The Woodlands, Texas.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Common Stock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quarterly results of operations may fluctuate significantly or may fall below the expectations of investors or securities analysts, each of which may cause our stock price to fluctuate or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results of operations to be subject to quarterly fluctuations. Our net loss and other results of operations will be affected by numerous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variations in the level of expense related to the ongoing development of our drug candidates, DEL-AI platform, or future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or the addition or termination of clinical trials or funding support by us or by existing or future collaborators or licensing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intellectual property infringement lawsuit or opposition, interference or cancellation proceeding in which we may become involved;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and departures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strategic decisions by us or our competitors, such as acquisitions, divestitures, spin-offs, joint ventures, strategic investments or changes in business strategy;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any of our drug candidates receives regulatory approval, the terms of such approval and market acceptance and demand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developments affecting our drug candidates or those of our competitors;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general market and economic conditions, including interest rate fluctuations, inflation, uncertainty with respect to the federal budget and debt ceiling and potential government shutdowns related thereto, instability in the global banking system and the possibility of a recession or further economic downturn.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2"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stock price may be volatile and you could lose all or part of your investment.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of our drug candidates, or those of our competitors or our existing or future collaborators;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or legal developments in the United States and other countries, especially changes in laws or regulations applicable to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competitive products or technologies;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introductions and announcements of new products by us, our collaboration partners, or our competitors, and the timing of these introductions or announcements;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actions taken by regulatory agencies with respect to our drug candidates, clinical trials, manufacturing process or sales and marketing terms;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variations in our financial results or in those of companies that are perceived to be similar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efforts to acquire or in-license additional technologies, products or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concerning our current or future collaborations, including but not limited to those with our sources of manufacturing supply and our commercialization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market conditions in the pharmaceutical and biotechnology sectors;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acquisitions, strategic collaborations, joint ventures or capital commitments;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patents or other proprietary rights, including patents, litigation matters and our ability to obtain patent protection for our drug candidates and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or inability to raise additional capital and the terms on which any additional capital is raised;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failure or the failure of our competitors to meet analysts’ projections or guidance that we or our competitors may provide to the market;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fluctuations in the valuation of companies perceived by investors to be comparable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 and expectation of additional financing efforts;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speculation in the press or investment community;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trading volume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sales of our common stock by us or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concentrated ownership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cybersecurity events;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terrorist acts, acts of war or periods of widespread civil unrest, including the increasingly volatile global economic conditions resulting from regional conflicts around the world;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effects of public health crises, pandemics and epidemics;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natural disasters and other calamities;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general economic, industry and market conditions, including interest rate fluctuations, inflation, uncertainty with respect to the federal budget and debt ceiling and potential government shutdowns related thereto, instability in the global banking system and the possibility of a recession or further economic downturn.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3"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 sale of a substantial number of shares of our common stock may cause the price of our common stock to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future sale and issuance of equity or of debt securities that are convertible into equity will dilute our share capital.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choose to raise additional capital in the future, depending on market conditions, strategic considerations and operational requirements. For example, in April 2024, we sold an additional 11,916,667 shares of our common stock and pre-funded warrants to purchase an aggregate of 1,500,100 shares of our common stock in a public offering and in October 2025, we sold an additional 24,485,799 shares of our common stock in a registered direct offering. The pre-funded warrants sold in April 2024 are immediately exercisable, have an exercise price of $0.001 and may be exercised at any time after the date of issuance.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which was amended in July 2024, in October 2024, and in March 2026 (as amended, the Third Amended Equity Distribution Agreement), pursuant to which, from time to time, we may offer and sell through Piper Sandler up to $413.65 million of the common stock registered under the shelf registration statement pursuant to one or more “at the market” offerings. From time to time, we have issued and sold shares of common stock pursuant to this agreement and as of the date of this filing, we have $300.0 million of common stock remaining available for sale under the Third Amended Equity Distribution Agreement. Sales of our common stock under the Third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28, 2026, we have issued pre-funded warrants to purchase a total of 8,315,020 shares of our common stock, of which 7,577,909 were outstanding as of February 28, 2026.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public market for our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 classified board of directors so that not all members of our board are elected at one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permit only our board of directors to establish the number of directors and fill vacancies on our board;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provide that directors may be removed only “for cause” and only with the approval of two-thirds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require super-majority voting to amend some provisions in our restated certificate of incorporation and amended and restated bylaws, unless such amendments are approved by two-thirds of our board of directors, in which case stockholders can approve by a simple majority;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authorize the issuance of “blank check” preferred stock that our board could use to implement a stockholder rights plan;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eliminate the ability of our stockholders to call special meetings of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stockholder action by written consent, which requires all stockholder actions to be taken at a meeting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cumulative voting;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5"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restated certificate of incorporation and our amended and restated bylaws contain exclusive forum provisions for certain claims, which could limit our stockholders’ ability to obtain a favorable judicial forum for disputes with us or our directors, officers or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incur significant costs as a result of operating as a public company, and our management is required to devote substantial time to compliance initiatives and corporate governance practices.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disclosure obligations or any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Therefore, as a result of being a public company, our management and other personnel are required to devote a substantial amount of time to these compliance initiatives. Moreover, these rules and regulations result in high legal and financial compliance costs and have made some activities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6"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our ability to produce accurate and timely financial statements could be impaired, which could harm our results of operations, investors’ views of us and, as a result, the value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2025, we will continue to be considered a large accelerated filer under SEC rules for the fiscal year ending November 30, 2026, and, as a result, our independent registered public accounting firm will be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were remediated. However, we cannot assure you that the measures we have taken to date, and actions we may take in the future, will prevent or avoid potential future material weaknesses.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Because we do not anticipate paying any cash dividends on our capital stock in the foreseeable future, capital appreciation, if any, will be your sole source of gain.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securities litigation, which is expensive and could divert management attention.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7"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Proceeds from Registered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Purchases of Equity Securities by Issuers and Affiliated Purchasers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Director and Section 16 Officer Rule 10b5-1 Trading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3, 2026, Hans van Houte, Chief Financial Officer of the Company, entered into a prearranged trading plan intended to satisfy the affirmative defense of Rule 10b5-1(c) under the Securities Exchange Act of 1934, as amended (van Houte Plan), providing for the potential sale of up to 173,860 shares of the Company’s common stock, including shares issuable upon the exercise of option awards previously granted to Mr. van Houte and shares to be acquired upon the vesting and settlement of restricted stock units previously granted to Mr. van Houte. The shares will be sold at the times and prices specified in the van Houte Plan. The van Houte Plan expires on April 30, 2027, or upon the earlier completion of all authorized transactions thereunder.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27, 2026, Gwenn M. Hansen, Chief Scientific Officer of the Company, entered into a prearranged trading plan intended to satisfy the affirmative defense of Rule 10b5-1(c) under the Securities Exchange Act of 1934, as amended (Hansen Plan), providing for the potential sale of up to 52,460 shares of the Company’s common stock, including shares issuable upon the exercise of option awards previously granted to Dr. Hansen and shares to be acquired upon the vesting and settlement of restricted stock units previously granted to Dr. Hansen. The shares will be sold at the times and prices specified in the Hansen Plan. The Hansen Plan expires on May 31, 2027, or upon the earlier completion of all authorized transactions thereunder.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other director or Section 16 officer of the Company adopted or terminated a “Rule 10b5-1 trading arrangement” or “non-Rule 10b5-1 trading arrangement,” as each term is defined in Item 408(a) of Regulation S-K, during the three months ended February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8"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5"/>
        <w:gridCol w:w="234"/>
        <w:gridCol w:w="235"/>
        <w:gridCol w:w="109"/>
        <w:gridCol w:w="109"/>
        <w:gridCol w:w="109"/>
        <w:gridCol w:w="1850"/>
        <w:gridCol w:w="1617"/>
        <w:gridCol w:w="1636"/>
        <w:gridCol w:w="180"/>
        <w:gridCol w:w="180"/>
        <w:gridCol w:w="179"/>
        <w:gridCol w:w="264"/>
        <w:gridCol w:w="264"/>
        <w:gridCol w:w="228"/>
        <w:gridCol w:w="222"/>
        <w:gridCol w:w="222"/>
        <w:gridCol w:w="223"/>
        <w:gridCol w:w="332"/>
        <w:gridCol w:w="246"/>
        <w:gridCol w:w="248"/>
        <w:gridCol w:w="364"/>
        <w:gridCol w:w="364"/>
        <w:gridCol w:w="525"/>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 Furnished Herewith</w:t>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9"/>
                  <w:u w:val="single"/>
                </w:rPr>
                <w:t>Amendment No. 3 to the Equity Distribution Agreement, dated March 6, 2026, by and between the Registrant and Piper Sandler &amp; Co.</w:t>
              </w:r>
            </w:hyperlink>
          </w:p>
        </w:tc>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001-39398</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6, 2026</w:t>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228x10qxex311.htm">
              <w:r>
                <w:rPr>
                  <w:rStyle w:val="InternetLink"/>
                  <w:rFonts w:ascii="Times New Roman;serif" w:hAnsi="Times New Roman;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228x10qxex312.htm">
              <w:r>
                <w:rPr>
                  <w:rStyle w:val="InternetLink"/>
                  <w:rFonts w:ascii="Times New Roman;serif" w:hAnsi="Times New Roman;serif"/>
                  <w:b w:val="false"/>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228x10qxex321.htm">
              <w:r>
                <w:rPr>
                  <w:rStyle w:val="InternetLink"/>
                  <w:rFonts w:ascii="Times New Roman;serif" w:hAnsi="Times New Roman;serif"/>
                  <w:b w:val="false"/>
                  <w:color w:val="0000FF"/>
                  <w:sz w:val="19"/>
                  <w:u w:val="single"/>
                </w:rPr>
                <w:t>Certification of Principal Executive Officer and Principal Financial and Accounting Officer Pursuant to 18 U.S.C. Section 1350, as Adopted Pursuant to Section 906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Instance Document - the Instance Document does not appear in the Interactive Data File because its XBRL tags are embedded within the Inline XBRL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Schema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Calculation Linkbase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Definition Linkbase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Label Linkbase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Presentation Linkbase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Cover Page Interactive Data File (formatted as Inline XBRL and included in exhibit 101)</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b0e24b70c3a147b6ac9964f3a2740635_13">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956" w:type="dxa"/>
        <w:jc w:val="left"/>
        <w:tblInd w:w="0" w:type="dxa"/>
        <w:tblLayout w:type="fixed"/>
        <w:tblCellMar>
          <w:top w:w="28" w:type="dxa"/>
          <w:left w:w="28" w:type="dxa"/>
          <w:bottom w:w="28" w:type="dxa"/>
          <w:right w:w="28" w:type="dxa"/>
        </w:tblCellMar>
      </w:tblPr>
      <w:tblGrid>
        <w:gridCol w:w="607"/>
        <w:gridCol w:w="535"/>
        <w:gridCol w:w="538"/>
        <w:gridCol w:w="439"/>
        <w:gridCol w:w="439"/>
        <w:gridCol w:w="439"/>
        <w:gridCol w:w="1158"/>
        <w:gridCol w:w="1158"/>
        <w:gridCol w:w="1643"/>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NURIX THERAPEUTICS, INC.</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8,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8,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H</w:t>
            </w:r>
            <w:r>
              <w:rPr>
                <w:rFonts w:ascii="Times New Roman;serif" w:hAnsi="Times New Roman;serif"/>
                <w:b w:val="false"/>
                <w:color w:val="000000"/>
                <w:sz w:val="16"/>
              </w:rPr>
              <w:t>ANS</w:t>
            </w:r>
            <w:r>
              <w:rPr>
                <w:color w:val="000000"/>
              </w:rPr>
              <w:t xml:space="preserve"> </w:t>
            </w:r>
            <w:r>
              <w:rPr>
                <w:rFonts w:ascii="Times New Roman;serif" w:hAnsi="Times New Roman;serif"/>
                <w:b w:val="false"/>
                <w:color w:val="000000"/>
                <w:sz w:val="16"/>
              </w:rPr>
              <w:t>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100"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Arthur T. Sands,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April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Hans van Houte,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9"/>
        <w:gridCol w:w="1099"/>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April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of the undersigned officers of Nurix Therapeutics, Inc. (the Company) certifies, pursuant to 18 U.S.C. § 1350, as adopted pursuant to § 906 of the Sarbanes-Oxley Act of 2002,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February 28, 2026 (the Quarterly Report), as filed with the Securities and Exchange Commission,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this Quarterly Report fairly presents, in all material respects, the financial condition and results of operations of the Company.</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April 8,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both"/>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9595/000119312526096734/d32105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73177</Words>
  <Characters>411105</Characters>
  <CharactersWithSpaces>482957</CharactersWithSpaces>
  <Paragraphs>2241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