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83185</wp:posOffset>
            </wp:positionV>
            <wp:extent cx="548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4080" w:right="2980" w:hanging="4072"/>
        <w:spacing w:after="0" w:line="326" w:lineRule="auto"/>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November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-300355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36" w:lineRule="exact"/>
        <w:rPr>
          <w:rFonts w:ascii="MS PGothic" w:cs="MS PGothic" w:eastAsia="MS PGothic" w:hAnsi="MS PGothic"/>
          <w:sz w:val="16"/>
          <w:szCs w:val="16"/>
          <w:color w:val="auto"/>
        </w:rPr>
      </w:pPr>
    </w:p>
    <w:p>
      <w:pPr>
        <w:ind w:left="3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FROM</w:t>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-223520</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71755</wp:posOffset>
            </wp:positionV>
            <wp:extent cx="548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NURIX THERAPEUTICS,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69215</wp:posOffset>
            </wp:positionV>
            <wp:extent cx="548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880" w:type="dxa"/>
            <w:vAlign w:val="bottom"/>
          </w:tcPr>
          <w:p>
            <w:pPr>
              <w:jc w:val="center"/>
              <w:ind w:left="1625"/>
              <w:spacing w:after="0"/>
              <w:rPr>
                <w:sz w:val="20"/>
                <w:szCs w:val="20"/>
                <w:color w:val="auto"/>
              </w:rPr>
            </w:pPr>
            <w:r>
              <w:rPr>
                <w:rFonts w:ascii="Arial" w:cs="Arial" w:eastAsia="Arial" w:hAnsi="Arial"/>
                <w:sz w:val="15"/>
                <w:szCs w:val="15"/>
                <w:b w:val="1"/>
                <w:bCs w:val="1"/>
                <w:color w:val="auto"/>
                <w:w w:val="94"/>
              </w:rPr>
              <w:t>Delaware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jc w:val="right"/>
              <w:ind w:right="2325"/>
              <w:spacing w:after="0"/>
              <w:rPr>
                <w:sz w:val="20"/>
                <w:szCs w:val="20"/>
                <w:color w:val="auto"/>
              </w:rPr>
            </w:pPr>
            <w:r>
              <w:rPr>
                <w:rFonts w:ascii="Arial" w:cs="Arial" w:eastAsia="Arial" w:hAnsi="Arial"/>
                <w:sz w:val="15"/>
                <w:szCs w:val="15"/>
                <w:b w:val="1"/>
                <w:bCs w:val="1"/>
                <w:color w:val="auto"/>
              </w:rPr>
              <w:t>27-0838048</w:t>
            </w:r>
          </w:p>
        </w:tc>
        <w:tc>
          <w:tcPr>
            <w:tcW w:w="0" w:type="dxa"/>
            <w:vAlign w:val="bottom"/>
          </w:tcPr>
          <w:p>
            <w:pPr>
              <w:spacing w:after="0"/>
              <w:rPr>
                <w:sz w:val="1"/>
                <w:szCs w:val="1"/>
                <w:color w:val="auto"/>
              </w:rPr>
            </w:pPr>
          </w:p>
        </w:tc>
      </w:tr>
      <w:tr>
        <w:trPr>
          <w:trHeight w:val="162"/>
        </w:trPr>
        <w:tc>
          <w:tcPr>
            <w:tcW w:w="3880" w:type="dxa"/>
            <w:vAlign w:val="bottom"/>
          </w:tcPr>
          <w:p>
            <w:pPr>
              <w:jc w:val="center"/>
              <w:ind w:left="1625"/>
              <w:spacing w:after="0" w:line="162" w:lineRule="exact"/>
              <w:rPr>
                <w:sz w:val="20"/>
                <w:szCs w:val="20"/>
                <w:color w:val="auto"/>
              </w:rPr>
            </w:pPr>
            <w:r>
              <w:rPr>
                <w:rFonts w:ascii="Arial" w:cs="Arial" w:eastAsia="Arial" w:hAnsi="Arial"/>
                <w:sz w:val="15"/>
                <w:szCs w:val="15"/>
                <w:b w:val="1"/>
                <w:bCs w:val="1"/>
                <w:color w:val="auto"/>
                <w:w w:val="92"/>
              </w:rPr>
              <w:t>(State or other jurisdiction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jc w:val="center"/>
              <w:ind w:right="2065"/>
              <w:spacing w:after="0" w:line="162" w:lineRule="exact"/>
              <w:rPr>
                <w:sz w:val="20"/>
                <w:szCs w:val="20"/>
                <w:color w:val="auto"/>
              </w:rPr>
            </w:pPr>
            <w:r>
              <w:rPr>
                <w:rFonts w:ascii="Arial" w:cs="Arial" w:eastAsia="Arial" w:hAnsi="Arial"/>
                <w:sz w:val="15"/>
                <w:szCs w:val="15"/>
                <w:b w:val="1"/>
                <w:bCs w:val="1"/>
                <w:color w:val="auto"/>
                <w:w w:val="95"/>
              </w:rPr>
              <w:t>(I.R.S. Employer</w:t>
            </w:r>
          </w:p>
        </w:tc>
        <w:tc>
          <w:tcPr>
            <w:tcW w:w="0" w:type="dxa"/>
            <w:vAlign w:val="bottom"/>
          </w:tcPr>
          <w:p>
            <w:pPr>
              <w:spacing w:after="0"/>
              <w:rPr>
                <w:sz w:val="1"/>
                <w:szCs w:val="1"/>
                <w:color w:val="auto"/>
              </w:rPr>
            </w:pPr>
          </w:p>
        </w:tc>
      </w:tr>
      <w:tr>
        <w:trPr>
          <w:trHeight w:val="162"/>
        </w:trPr>
        <w:tc>
          <w:tcPr>
            <w:tcW w:w="3880" w:type="dxa"/>
            <w:vAlign w:val="bottom"/>
          </w:tcPr>
          <w:p>
            <w:pPr>
              <w:jc w:val="center"/>
              <w:ind w:left="1625"/>
              <w:spacing w:after="0" w:line="162" w:lineRule="exact"/>
              <w:rPr>
                <w:sz w:val="20"/>
                <w:szCs w:val="20"/>
                <w:color w:val="auto"/>
              </w:rPr>
            </w:pPr>
            <w:r>
              <w:rPr>
                <w:rFonts w:ascii="Arial" w:cs="Arial" w:eastAsia="Arial" w:hAnsi="Arial"/>
                <w:sz w:val="15"/>
                <w:szCs w:val="15"/>
                <w:b w:val="1"/>
                <w:bCs w:val="1"/>
                <w:color w:val="auto"/>
                <w:w w:val="92"/>
              </w:rPr>
              <w:t>incorporation or organization)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jc w:val="center"/>
              <w:ind w:right="2085"/>
              <w:spacing w:after="0" w:line="162" w:lineRule="exact"/>
              <w:rPr>
                <w:sz w:val="20"/>
                <w:szCs w:val="20"/>
                <w:color w:val="auto"/>
              </w:rPr>
            </w:pPr>
            <w:r>
              <w:rPr>
                <w:rFonts w:ascii="Arial" w:cs="Arial" w:eastAsia="Arial" w:hAnsi="Arial"/>
                <w:sz w:val="15"/>
                <w:szCs w:val="15"/>
                <w:b w:val="1"/>
                <w:bCs w:val="1"/>
                <w:color w:val="auto"/>
                <w:w w:val="94"/>
              </w:rPr>
              <w:t>Identification No.)</w:t>
            </w:r>
          </w:p>
        </w:tc>
        <w:tc>
          <w:tcPr>
            <w:tcW w:w="0" w:type="dxa"/>
            <w:vAlign w:val="bottom"/>
          </w:tcPr>
          <w:p>
            <w:pPr>
              <w:spacing w:after="0"/>
              <w:rPr>
                <w:sz w:val="1"/>
                <w:szCs w:val="1"/>
                <w:color w:val="auto"/>
              </w:rPr>
            </w:pPr>
          </w:p>
        </w:tc>
      </w:tr>
      <w:tr>
        <w:trPr>
          <w:trHeight w:val="162"/>
        </w:trPr>
        <w:tc>
          <w:tcPr>
            <w:tcW w:w="3880" w:type="dxa"/>
            <w:vAlign w:val="bottom"/>
          </w:tcPr>
          <w:p>
            <w:pPr>
              <w:jc w:val="center"/>
              <w:ind w:left="1625"/>
              <w:spacing w:after="0" w:line="162" w:lineRule="exact"/>
              <w:rPr>
                <w:sz w:val="20"/>
                <w:szCs w:val="20"/>
                <w:color w:val="auto"/>
              </w:rPr>
            </w:pPr>
            <w:r>
              <w:rPr>
                <w:rFonts w:ascii="Arial" w:cs="Arial" w:eastAsia="Arial" w:hAnsi="Arial"/>
                <w:sz w:val="15"/>
                <w:szCs w:val="15"/>
                <w:b w:val="1"/>
                <w:bCs w:val="1"/>
                <w:color w:val="auto"/>
                <w:w w:val="91"/>
              </w:rPr>
              <w:t>1700 Owens Street, Suite 205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jc w:val="center"/>
              <w:ind w:left="1625"/>
              <w:spacing w:after="0" w:line="162" w:lineRule="exact"/>
              <w:rPr>
                <w:sz w:val="20"/>
                <w:szCs w:val="20"/>
                <w:color w:val="auto"/>
              </w:rPr>
            </w:pPr>
            <w:r>
              <w:rPr>
                <w:rFonts w:ascii="Arial" w:cs="Arial" w:eastAsia="Arial" w:hAnsi="Arial"/>
                <w:sz w:val="15"/>
                <w:szCs w:val="15"/>
                <w:b w:val="1"/>
                <w:bCs w:val="1"/>
                <w:color w:val="auto"/>
                <w:w w:val="92"/>
              </w:rPr>
              <w:t>San Francisco, CA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jc w:val="right"/>
              <w:ind w:right="2505"/>
              <w:spacing w:after="0" w:line="162" w:lineRule="exact"/>
              <w:rPr>
                <w:sz w:val="20"/>
                <w:szCs w:val="20"/>
                <w:color w:val="auto"/>
              </w:rPr>
            </w:pPr>
            <w:r>
              <w:rPr>
                <w:rFonts w:ascii="Arial" w:cs="Arial" w:eastAsia="Arial" w:hAnsi="Arial"/>
                <w:sz w:val="15"/>
                <w:szCs w:val="15"/>
                <w:b w:val="1"/>
                <w:bCs w:val="1"/>
                <w:color w:val="auto"/>
              </w:rPr>
              <w:t>94158</w:t>
            </w:r>
          </w:p>
        </w:tc>
        <w:tc>
          <w:tcPr>
            <w:tcW w:w="0" w:type="dxa"/>
            <w:vAlign w:val="bottom"/>
          </w:tcPr>
          <w:p>
            <w:pPr>
              <w:spacing w:after="0"/>
              <w:rPr>
                <w:sz w:val="1"/>
                <w:szCs w:val="1"/>
                <w:color w:val="auto"/>
              </w:rPr>
            </w:pPr>
          </w:p>
        </w:tc>
      </w:tr>
      <w:tr>
        <w:trPr>
          <w:trHeight w:val="198"/>
        </w:trPr>
        <w:tc>
          <w:tcPr>
            <w:tcW w:w="7840" w:type="dxa"/>
            <w:vAlign w:val="bottom"/>
            <w:gridSpan w:val="8"/>
          </w:tcPr>
          <w:p>
            <w:pPr>
              <w:jc w:val="center"/>
              <w:ind w:right="2260"/>
              <w:spacing w:after="0"/>
              <w:rPr>
                <w:sz w:val="20"/>
                <w:szCs w:val="20"/>
                <w:color w:val="auto"/>
              </w:rPr>
            </w:pPr>
            <w:r>
              <w:rPr>
                <w:rFonts w:ascii="Arial" w:cs="Arial" w:eastAsia="Arial" w:hAnsi="Arial"/>
                <w:sz w:val="15"/>
                <w:szCs w:val="15"/>
                <w:b w:val="1"/>
                <w:bCs w:val="1"/>
                <w:color w:val="auto"/>
                <w:w w:val="90"/>
              </w:rPr>
              <w:t>(Address of principal executive offices)</w:t>
            </w:r>
          </w:p>
        </w:tc>
        <w:tc>
          <w:tcPr>
            <w:tcW w:w="3400" w:type="dxa"/>
            <w:vAlign w:val="bottom"/>
          </w:tcPr>
          <w:p>
            <w:pPr>
              <w:jc w:val="center"/>
              <w:ind w:right="2065"/>
              <w:spacing w:after="0"/>
              <w:rPr>
                <w:sz w:val="20"/>
                <w:szCs w:val="20"/>
                <w:color w:val="auto"/>
              </w:rPr>
            </w:pPr>
            <w:r>
              <w:rPr>
                <w:rFonts w:ascii="Arial" w:cs="Arial" w:eastAsia="Arial" w:hAnsi="Arial"/>
                <w:sz w:val="15"/>
                <w:szCs w:val="15"/>
                <w:b w:val="1"/>
                <w:bCs w:val="1"/>
                <w:color w:val="auto"/>
                <w:w w:val="94"/>
              </w:rPr>
              <w:t>(Zip Code)</w:t>
            </w:r>
          </w:p>
        </w:tc>
        <w:tc>
          <w:tcPr>
            <w:tcW w:w="0" w:type="dxa"/>
            <w:vAlign w:val="bottom"/>
          </w:tcPr>
          <w:p>
            <w:pPr>
              <w:spacing w:after="0"/>
              <w:rPr>
                <w:sz w:val="1"/>
                <w:szCs w:val="1"/>
                <w:color w:val="auto"/>
              </w:rPr>
            </w:pPr>
          </w:p>
        </w:tc>
      </w:tr>
      <w:tr>
        <w:trPr>
          <w:trHeight w:val="229"/>
        </w:trPr>
        <w:tc>
          <w:tcPr>
            <w:tcW w:w="7840" w:type="dxa"/>
            <w:vAlign w:val="bottom"/>
            <w:gridSpan w:val="8"/>
          </w:tcPr>
          <w:p>
            <w:pPr>
              <w:jc w:val="center"/>
              <w:ind w:left="3325"/>
              <w:spacing w:after="0"/>
              <w:rPr>
                <w:sz w:val="20"/>
                <w:szCs w:val="20"/>
                <w:color w:val="auto"/>
              </w:rPr>
            </w:pPr>
            <w:r>
              <w:rPr>
                <w:rFonts w:ascii="Arial" w:cs="Arial" w:eastAsia="Arial" w:hAnsi="Arial"/>
                <w:sz w:val="15"/>
                <w:szCs w:val="15"/>
                <w:b w:val="1"/>
                <w:bCs w:val="1"/>
                <w:color w:val="auto"/>
                <w:w w:val="91"/>
              </w:rPr>
              <w:t>Registrant’s telephone number, including area code: (415) 660-5320</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3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3960" w:type="dxa"/>
            <w:vAlign w:val="bottom"/>
            <w:gridSpan w:val="7"/>
          </w:tcPr>
          <w:p>
            <w:pPr>
              <w:jc w:val="center"/>
              <w:ind w:right="48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880" w:type="dxa"/>
            <w:vAlign w:val="bottom"/>
            <w:vMerge w:val="restart"/>
          </w:tcPr>
          <w:p>
            <w:pPr>
              <w:jc w:val="center"/>
              <w:ind w:left="125"/>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gridSpan w:val="4"/>
          </w:tcPr>
          <w:p>
            <w:pPr>
              <w:jc w:val="center"/>
              <w:ind w:right="1800"/>
              <w:spacing w:after="0"/>
              <w:rPr>
                <w:sz w:val="20"/>
                <w:szCs w:val="20"/>
                <w:color w:val="auto"/>
              </w:rPr>
            </w:pPr>
            <w:r>
              <w:rPr>
                <w:rFonts w:ascii="Arial" w:cs="Arial" w:eastAsia="Arial" w:hAnsi="Arial"/>
                <w:sz w:val="14"/>
                <w:szCs w:val="14"/>
                <w:b w:val="1"/>
                <w:bCs w:val="1"/>
                <w:color w:val="auto"/>
                <w:w w:val="97"/>
              </w:rPr>
              <w:t>Trading</w:t>
            </w:r>
          </w:p>
        </w:tc>
        <w:tc>
          <w:tcPr>
            <w:tcW w:w="3400" w:type="dxa"/>
            <w:vAlign w:val="bottom"/>
            <w:vMerge w:val="restart"/>
          </w:tcPr>
          <w:p>
            <w:pPr>
              <w:jc w:val="center"/>
              <w:ind w:right="605"/>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gridSpan w:val="4"/>
          </w:tcPr>
          <w:p>
            <w:pPr>
              <w:jc w:val="center"/>
              <w:ind w:right="1800"/>
              <w:spacing w:after="0"/>
              <w:rPr>
                <w:sz w:val="20"/>
                <w:szCs w:val="20"/>
                <w:color w:val="auto"/>
              </w:rPr>
            </w:pPr>
            <w:r>
              <w:rPr>
                <w:rFonts w:ascii="Arial" w:cs="Arial" w:eastAsia="Arial" w:hAnsi="Arial"/>
                <w:sz w:val="14"/>
                <w:szCs w:val="14"/>
                <w:b w:val="1"/>
                <w:bCs w:val="1"/>
                <w:color w:val="auto"/>
                <w:w w:val="91"/>
              </w:rPr>
              <w:t>Symbol(s)</w:t>
            </w:r>
          </w:p>
        </w:tc>
        <w:tc>
          <w:tcPr>
            <w:tcW w:w="3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tcBorders>
              <w:top w:val="single" w:sz="8" w:color="auto"/>
            </w:tcBorders>
          </w:tcPr>
          <w:p>
            <w:pPr>
              <w:jc w:val="center"/>
              <w:ind w:left="125"/>
              <w:spacing w:after="0"/>
              <w:rPr>
                <w:sz w:val="20"/>
                <w:szCs w:val="20"/>
                <w:color w:val="auto"/>
              </w:rPr>
            </w:pPr>
            <w:r>
              <w:rPr>
                <w:rFonts w:ascii="Arial" w:cs="Arial" w:eastAsia="Arial" w:hAnsi="Arial"/>
                <w:sz w:val="14"/>
                <w:szCs w:val="14"/>
                <w:color w:val="auto"/>
                <w:w w:val="91"/>
              </w:rPr>
              <w:t>Common Stock, par value $0.001 per share</w:t>
            </w:r>
          </w:p>
        </w:tc>
        <w:tc>
          <w:tcPr>
            <w:tcW w:w="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center"/>
              <w:ind w:right="1000"/>
              <w:spacing w:after="0"/>
              <w:rPr>
                <w:sz w:val="20"/>
                <w:szCs w:val="20"/>
                <w:color w:val="auto"/>
              </w:rPr>
            </w:pPr>
            <w:r>
              <w:rPr>
                <w:rFonts w:ascii="Arial" w:cs="Arial" w:eastAsia="Arial" w:hAnsi="Arial"/>
                <w:sz w:val="14"/>
                <w:szCs w:val="14"/>
                <w:color w:val="auto"/>
              </w:rPr>
              <w:t>NRIX</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0" w:type="dxa"/>
            <w:vAlign w:val="bottom"/>
            <w:tcBorders>
              <w:top w:val="single" w:sz="8" w:color="auto"/>
            </w:tcBorders>
          </w:tcPr>
          <w:p>
            <w:pPr>
              <w:jc w:val="center"/>
              <w:ind w:right="605"/>
              <w:spacing w:after="0"/>
              <w:rPr>
                <w:sz w:val="20"/>
                <w:szCs w:val="20"/>
                <w:color w:val="auto"/>
              </w:rPr>
            </w:pPr>
            <w:r>
              <w:rPr>
                <w:rFonts w:ascii="Arial" w:cs="Arial" w:eastAsia="Arial" w:hAnsi="Arial"/>
                <w:sz w:val="14"/>
                <w:szCs w:val="14"/>
                <w:color w:val="auto"/>
                <w:w w:val="94"/>
              </w:rPr>
              <w:t>Nasdaq Global Market</w:t>
            </w:r>
          </w:p>
        </w:tc>
        <w:tc>
          <w:tcPr>
            <w:tcW w:w="0" w:type="dxa"/>
            <w:vAlign w:val="bottom"/>
          </w:tcPr>
          <w:p>
            <w:pPr>
              <w:spacing w:after="0"/>
              <w:rPr>
                <w:sz w:val="1"/>
                <w:szCs w:val="1"/>
                <w:color w:val="auto"/>
              </w:rPr>
            </w:pPr>
          </w:p>
        </w:tc>
      </w:tr>
    </w:tbl>
    <w:p>
      <w:pPr>
        <w:ind w:left="402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7" w:lineRule="exact"/>
        <w:rPr>
          <w:sz w:val="24"/>
          <w:szCs w:val="24"/>
          <w:color w:val="auto"/>
        </w:rPr>
      </w:pPr>
    </w:p>
    <w:p>
      <w:pPr>
        <w:ind w:right="10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36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8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2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380"/>
              <w:spacing w:after="0"/>
              <w:rPr>
                <w:sz w:val="20"/>
                <w:szCs w:val="20"/>
                <w:color w:val="auto"/>
              </w:rPr>
            </w:pPr>
            <w:r>
              <w:rPr>
                <w:rFonts w:ascii="Arial" w:cs="Arial" w:eastAsia="Arial" w:hAnsi="Arial"/>
                <w:sz w:val="13"/>
                <w:szCs w:val="13"/>
                <w:color w:val="auto"/>
              </w:rPr>
              <w:t>Accelerated filer</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1"/>
        </w:trPr>
        <w:tc>
          <w:tcPr>
            <w:tcW w:w="1820" w:type="dxa"/>
            <w:vAlign w:val="bottom"/>
          </w:tcPr>
          <w:p>
            <w:pPr>
              <w:spacing w:after="0"/>
              <w:rPr>
                <w:sz w:val="20"/>
                <w:szCs w:val="20"/>
                <w:color w:val="auto"/>
              </w:rPr>
            </w:pPr>
            <w:r>
              <w:rPr>
                <w:rFonts w:ascii="Arial" w:cs="Arial" w:eastAsia="Arial" w:hAnsi="Arial"/>
                <w:sz w:val="13"/>
                <w:szCs w:val="13"/>
                <w:color w:val="auto"/>
              </w:rPr>
              <w:t>Non-accelerated filer</w:t>
            </w:r>
          </w:p>
        </w:tc>
        <w:tc>
          <w:tcPr>
            <w:tcW w:w="382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380"/>
              <w:spacing w:after="0"/>
              <w:rPr>
                <w:sz w:val="20"/>
                <w:szCs w:val="20"/>
                <w:color w:val="auto"/>
              </w:rPr>
            </w:pPr>
            <w:r>
              <w:rPr>
                <w:rFonts w:ascii="Arial" w:cs="Arial" w:eastAsia="Arial" w:hAnsi="Arial"/>
                <w:sz w:val="13"/>
                <w:szCs w:val="13"/>
                <w:color w:val="auto"/>
              </w:rPr>
              <w:t>Smaller reporting company</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8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82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spacing w:after="0"/>
              <w:rPr>
                <w:sz w:val="18"/>
                <w:szCs w:val="18"/>
                <w:color w:val="auto"/>
              </w:rPr>
            </w:pPr>
          </w:p>
        </w:tc>
        <w:tc>
          <w:tcPr>
            <w:tcW w:w="380" w:type="dxa"/>
            <w:vAlign w:val="bottom"/>
          </w:tcPr>
          <w:p>
            <w:pPr>
              <w:spacing w:after="0"/>
              <w:rPr>
                <w:sz w:val="18"/>
                <w:szCs w:val="18"/>
                <w:color w:val="auto"/>
              </w:rPr>
            </w:pPr>
          </w:p>
        </w:tc>
      </w:tr>
    </w:tbl>
    <w:p>
      <w:pPr>
        <w:spacing w:after="0" w:line="215" w:lineRule="exact"/>
        <w:rPr>
          <w:sz w:val="24"/>
          <w:szCs w:val="24"/>
          <w:color w:val="auto"/>
        </w:rPr>
      </w:pPr>
    </w:p>
    <w:p>
      <w:pPr>
        <w:ind w:right="3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7" w:lineRule="exact"/>
        <w:rPr>
          <w:sz w:val="24"/>
          <w:szCs w:val="24"/>
          <w:color w:val="auto"/>
        </w:rPr>
      </w:pPr>
    </w:p>
    <w:p>
      <w:pPr>
        <w:ind w:right="2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
        <w:spacing w:after="0" w:line="226" w:lineRule="auto"/>
        <w:rPr>
          <w:sz w:val="20"/>
          <w:szCs w:val="20"/>
          <w:color w:val="auto"/>
        </w:rPr>
      </w:pPr>
      <w:r>
        <w:rPr>
          <w:rFonts w:ascii="Arial" w:cs="Arial" w:eastAsia="Arial" w:hAnsi="Arial"/>
          <w:sz w:val="13"/>
          <w:szCs w:val="13"/>
          <w:color w:val="auto"/>
        </w:rPr>
        <w:t>The aggregate market value of the common stock held by non-affiliates of the Registrant, based on the closing price of the shares of common stock on July 28, 2020 as reported by the Nasdaq Global Market on such date was approximately $452 million. The Registrant has elected to use July 28, 2020, which was the closing date of its initial public offering of common stock, as the calculation date because on May 29, 2020 (the last business day of the Registrant’s most recently completed second fiscal quarter) the Registrant was a privately held company. This calculation does not reflect a determination that certain persons are affiliates of the Registrant for any other purpose.</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11, 2021 , the Registrant had 38,907,223 shares of common stock, $0.001 par value per share, outstanding.</w:t>
      </w:r>
    </w:p>
    <w:p>
      <w:pPr>
        <w:spacing w:after="0" w:line="26" w:lineRule="exact"/>
        <w:rPr>
          <w:sz w:val="24"/>
          <w:szCs w:val="24"/>
          <w:color w:val="auto"/>
        </w:rPr>
      </w:pPr>
    </w:p>
    <w:p>
      <w:pPr>
        <w:ind w:left="4260"/>
        <w:spacing w:after="0"/>
        <w:rPr>
          <w:sz w:val="20"/>
          <w:szCs w:val="20"/>
          <w:color w:val="auto"/>
        </w:rPr>
      </w:pPr>
      <w:r>
        <w:rPr>
          <w:rFonts w:ascii="Arial" w:cs="Arial" w:eastAsia="Arial" w:hAnsi="Arial"/>
          <w:sz w:val="13"/>
          <w:szCs w:val="13"/>
          <w:color w:val="auto"/>
        </w:rPr>
        <w:t>DOCUMENTS INCORPORATED BY REFERENCE</w:t>
      </w:r>
    </w:p>
    <w:p>
      <w:pPr>
        <w:spacing w:after="0" w:line="13" w:lineRule="exact"/>
        <w:rPr>
          <w:sz w:val="24"/>
          <w:szCs w:val="24"/>
          <w:color w:val="auto"/>
        </w:rPr>
      </w:pPr>
    </w:p>
    <w:p>
      <w:pPr>
        <w:ind w:right="80"/>
        <w:spacing w:after="0" w:line="376" w:lineRule="auto"/>
        <w:rPr>
          <w:sz w:val="20"/>
          <w:szCs w:val="20"/>
          <w:color w:val="auto"/>
        </w:rPr>
      </w:pPr>
      <w:r>
        <w:rPr>
          <w:rFonts w:ascii="Arial" w:cs="Arial" w:eastAsia="Arial" w:hAnsi="Arial"/>
          <w:sz w:val="10"/>
          <w:szCs w:val="10"/>
          <w:color w:val="auto"/>
        </w:rPr>
        <w:t>Certain sections of the Registrant’s definitive Proxy Statement to be filed in connection with the Registrant’s 2021 Annual Meeting of Stockholders are incorporated by reference into Part III of this Annual Report on Form 10-K where indicated. Such definitive Proxy Statement will be filed with the Securities and Exchange Commission pursuant to Regulation 14A within 120 days of the Registrant’s fiscal year ended November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50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500" w:type="dxa"/>
            <w:vAlign w:val="bottom"/>
          </w:tcPr>
          <w:p>
            <w:pPr>
              <w:ind w:left="20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500" w:type="dxa"/>
            <w:vAlign w:val="bottom"/>
          </w:tcPr>
          <w:p>
            <w:pPr>
              <w:ind w:left="20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7.</w:t>
            </w:r>
          </w:p>
        </w:tc>
        <w:tc>
          <w:tcPr>
            <w:tcW w:w="9500" w:type="dxa"/>
            <w:vAlign w:val="bottom"/>
          </w:tcPr>
          <w:p>
            <w:pPr>
              <w:ind w:left="20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7A.</w:t>
            </w:r>
          </w:p>
        </w:tc>
        <w:tc>
          <w:tcPr>
            <w:tcW w:w="9500" w:type="dxa"/>
            <w:vAlign w:val="bottom"/>
          </w:tcPr>
          <w:p>
            <w:pPr>
              <w:ind w:left="20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8.</w:t>
            </w:r>
          </w:p>
        </w:tc>
        <w:tc>
          <w:tcPr>
            <w:tcW w:w="9500" w:type="dxa"/>
            <w:vAlign w:val="bottom"/>
          </w:tcPr>
          <w:p>
            <w:pPr>
              <w:ind w:left="20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w:t>
            </w:r>
          </w:p>
        </w:tc>
        <w:tc>
          <w:tcPr>
            <w:tcW w:w="9500" w:type="dxa"/>
            <w:vAlign w:val="bottom"/>
          </w:tcPr>
          <w:p>
            <w:pPr>
              <w:ind w:left="20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500" w:type="dxa"/>
            <w:vAlign w:val="bottom"/>
          </w:tcPr>
          <w:p>
            <w:pPr>
              <w:ind w:left="20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500" w:type="dxa"/>
            <w:vAlign w:val="bottom"/>
          </w:tcPr>
          <w:p>
            <w:pPr>
              <w:ind w:left="20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500" w:type="dxa"/>
            <w:vAlign w:val="bottom"/>
          </w:tcPr>
          <w:p>
            <w:pPr>
              <w:ind w:left="20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11.</w:t>
            </w:r>
          </w:p>
        </w:tc>
        <w:tc>
          <w:tcPr>
            <w:tcW w:w="9500" w:type="dxa"/>
            <w:vAlign w:val="bottom"/>
          </w:tcPr>
          <w:p>
            <w:pPr>
              <w:ind w:left="20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500" w:type="dxa"/>
            <w:vAlign w:val="bottom"/>
          </w:tcPr>
          <w:p>
            <w:pPr>
              <w:ind w:left="20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13.</w:t>
            </w:r>
          </w:p>
        </w:tc>
        <w:tc>
          <w:tcPr>
            <w:tcW w:w="9500" w:type="dxa"/>
            <w:vAlign w:val="bottom"/>
          </w:tcPr>
          <w:p>
            <w:pPr>
              <w:ind w:left="20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500" w:type="dxa"/>
            <w:vAlign w:val="bottom"/>
          </w:tcPr>
          <w:p>
            <w:pPr>
              <w:ind w:left="20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Principal Accounting Fees and Services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500" w:type="dxa"/>
            <w:vAlign w:val="bottom"/>
          </w:tcPr>
          <w:p>
            <w:pPr>
              <w:ind w:left="20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Exhibits and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500" w:type="dxa"/>
            <w:vAlign w:val="bottom"/>
          </w:tcPr>
          <w:p>
            <w:pPr>
              <w:ind w:left="20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Signatures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9"/>
        </w:trPr>
        <w:tc>
          <w:tcPr>
            <w:tcW w:w="96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This Annual Report on Form 10-K contains forward-looking statements. All statements contained in this Annual Report on Form 10-K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03"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3" w:lineRule="exact"/>
        <w:rPr>
          <w:sz w:val="20"/>
          <w:szCs w:val="20"/>
          <w:color w:val="auto"/>
        </w:rPr>
      </w:pPr>
    </w:p>
    <w:p>
      <w:pPr>
        <w:ind w:left="1160" w:right="7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planned investigational new drug application (IND) submissions for our lead product candidates and other drug candidates;</w:t>
      </w:r>
    </w:p>
    <w:p>
      <w:pPr>
        <w:spacing w:after="0" w:line="8"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conduct of our clinical trial programs for our lead product candidates NX-2127 and NX-1607 and other drug candidates, including statements regarding the timing of initiation of the clinical trials;</w:t>
      </w:r>
    </w:p>
    <w:p>
      <w:pPr>
        <w:spacing w:after="0" w:line="8"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approvals for our lead product candidates NX-2127 and NX-1607 and other drug candidates;</w:t>
      </w:r>
    </w:p>
    <w:p>
      <w:pPr>
        <w:spacing w:after="0" w:line="8"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pursue research and development of other product candidates;</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DELigase platform and our product candidates;</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our scientific approach and DELigase platform may potentially address a broad range of diseases;</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arrangements with Sanofi S.A. and Gilead Sciences, Inc.;</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 from future sales of our product candidates;</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manufacturing of our product candidates;</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ongoing coronavirus (COVID-19) pandemic on our business, financial condition, liquidity and results of operations;</w:t>
      </w:r>
    </w:p>
    <w:p>
      <w:pPr>
        <w:spacing w:after="0" w:line="74" w:lineRule="exact"/>
        <w:rPr>
          <w:rFonts w:ascii="Arial" w:cs="Arial" w:eastAsia="Arial" w:hAnsi="Arial"/>
          <w:sz w:val="17"/>
          <w:szCs w:val="17"/>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achievement of milestones and receipt of royalty payments under our collaborations;</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collaborations with third parties;</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additional financing;</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63"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58"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180" w:firstLine="535"/>
        <w:spacing w:after="0" w:line="277" w:lineRule="auto"/>
        <w:rPr>
          <w:sz w:val="20"/>
          <w:szCs w:val="20"/>
          <w:color w:val="auto"/>
        </w:rPr>
      </w:pPr>
      <w:r>
        <w:rPr>
          <w:rFonts w:ascii="Arial" w:cs="Arial" w:eastAsia="Arial" w:hAnsi="Arial"/>
          <w:sz w:val="18"/>
          <w:szCs w:val="18"/>
          <w:color w:val="auto"/>
        </w:rPr>
        <w:t>When used in this report, unless otherwise indicated, “Nurix,” “Company,” “we,” “us” and “our” refers to Nurix Therapeutics, Inc. and its wholly owned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 xml:space="preserve">We are a biopharmaceutical company focused on the discovery, development and commercialization of small molecule therapies designed to modulate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(UPS) to selectively decrease or increase cellular protein levels. Our wholly owned pipeline comprises targeted protein degraders of Bruton’s tyrosine kinase (BTK), a B-cell signaling protein, and inhibitors of Casitas B-lineage lymphoma proto-oncogene-B (CBL-B), an E3 ligase that regulates T cell activation. Our lead drug candidate from our protein degradation portfolio, NX-2127, is an orally available BTK degrader with immunomodulatory drug (IMiD) activity for the treatment of relapsed or refractory B-cell malignancies. We filed an IND for NX-2127 in December 2020 and received clearance by the U.S. Food and Drug Administration (FDA) to initiate human clinical trials. We expect to dose the first patient in a Phase 1 clinical trial for NX-2127 in the first quarter of 2021. Our second drug candidate from our protein degradation portfolio, NX-5948, is an orally bioavailable BTK degrader without IMiD activity for the treatment of relapsed or refractory B-cell malignancies and potentially autoimmune diseases. We anticipate commencing a Phase 1 trial for NX-5948 in the second half of 2021. Our lead drug candidate from our E3 ligase inhibitor portfolio, NX-1607, is an orally available CBL-B inhibitor for immuno-oncology indications. We expect to commence a Phase 1 clinical trial for NX-1607 in the second half of 2021. We are also advancing a CBL-B inhibitor NX-0255 for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use to enhance adoptive T-cell therapy. We anticipate commencing a Phase 1 trial for our first cell therapy candidate, DeTIL-0255, in the second half of 2021. Beyond these portfolios, we are advancing additional preclinical programs, either independently or through our established strategic collaborations with Sanofi S.A. (Sanofi) and Gilead Sciences, Inc. (Gilead).</w:t>
      </w:r>
    </w:p>
    <w:p>
      <w:pPr>
        <w:spacing w:after="0" w:line="191"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In disease settings where currently available treatments are limited by suboptimal efficacy or safety, or where relevant protein targets are not druggable by conventional means, we believe targeted protein modulation represents a novel treatment paradigm with the potential to improve upon or become the standard of care. Recent advances in the field have highlighted the significant therapeutic potential of E3 ligases in promoting targeted protein degradation. In addition, we believe the largely unexplored area of inhibiting E3 ligases directly to increase protein levels represents an equally promising approach. Using our powerful DELigase platform, we have the ability to discover small molecule drug candidates to decrease or increase protein levels by either harnessing or inhibiting the activity of the appropriate E3 ligase, depending on the desired therapeutic effect. We have carefully selected and are progressing over 30 E3 ligases to expand the universe of E3 ligases that can be modulated beyond cereblon and von Hippel-Lindau (VHL), the two predominantly used in the field today. Our DNA-encoded library (DEL) collection consists of billions of small molecule compounds used to identify potential binders to ligases and protein targets as critical starting points in our drug discovery process. The differentiation of our protein modulation platform is in its breadth and versatility, enabling us to alter protein levels either upward or downward for both clinically validated targets, such as BTK, and for targets previously thought to be “undruggable”; that is, proteins that could not be addressed by conventional pharmacological means such as CBL-B.</w:t>
      </w:r>
    </w:p>
    <w:p>
      <w:pPr>
        <w:spacing w:after="0" w:line="7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Our protein degradation portfolio includes a series of chimeric targeting molecules (CTMs) that catalyze potent and specific degradation of BTK, a well validated target for B-cell malignancies. Our lead BTK degrader drug candidate, NX-2127, is an orally available CTM for the treatment of relapsed or refractory B-cell malignancies including non-Hodgkin lymphoma (NHL) and chronic lymphocytic leukemia (CLL). In preclinical studies, we have demonstrated the ability of certain of our BTK CTMs to degrade BTK in tumor cell lines harboring either wild type BTK and the C481S mutation in BTK that confers resistance to currently marketed BTK inhibitors. In addition to degrading BTK, NX-2127 was also designed to have IMiD activity. Based on our preclinical data, we believe NX-2127 has the potential to demonstrate improved clinical benefit over current standard-of-care in multiple oncology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ind w:right="20"/>
        <w:spacing w:after="0" w:line="259" w:lineRule="auto"/>
        <w:rPr>
          <w:sz w:val="20"/>
          <w:szCs w:val="20"/>
          <w:color w:val="auto"/>
        </w:rPr>
      </w:pPr>
      <w:r>
        <w:rPr>
          <w:rFonts w:ascii="Arial" w:cs="Arial" w:eastAsia="Arial" w:hAnsi="Arial"/>
          <w:sz w:val="18"/>
          <w:szCs w:val="18"/>
          <w:color w:val="auto"/>
        </w:rPr>
        <w:t>indications. We filed an IND for NX-2127 in December 2020 and received clearance by the FDA to initiate human clinical trials. We expect to dose the first patient in a Phase 1 clinical trial for NX-2127 in the first quarter of 2021. Our second BTK CTM drug program, NX-5948, is a BTK degrader designed to have limited or no IMiD activity for potential applications in indications where sparing IMiD activity may be beneficial. We expect to commence a Phase 1 clinical trial of NX-5948 in the second half of 2021.</w:t>
      </w:r>
    </w:p>
    <w:p>
      <w:pPr>
        <w:spacing w:after="0" w:line="187" w:lineRule="exact"/>
        <w:rPr>
          <w:sz w:val="20"/>
          <w:szCs w:val="20"/>
          <w:color w:val="auto"/>
        </w:rPr>
      </w:pPr>
    </w:p>
    <w:p>
      <w:pPr>
        <w:ind w:right="180" w:firstLine="589"/>
        <w:spacing w:after="0" w:line="286" w:lineRule="auto"/>
        <w:rPr>
          <w:sz w:val="20"/>
          <w:szCs w:val="20"/>
          <w:color w:val="auto"/>
        </w:rPr>
      </w:pPr>
      <w:r>
        <w:rPr>
          <w:rFonts w:ascii="Arial" w:cs="Arial" w:eastAsia="Arial" w:hAnsi="Arial"/>
          <w:sz w:val="16"/>
          <w:szCs w:val="16"/>
          <w:color w:val="auto"/>
        </w:rPr>
        <w:t>Our E3 ligase inhibitor portfolio is comprised of a series of small molecule inhibitors of CBL-B, which functions as an intracellular checkpoint regulating activation of T cells, B-cells and NK cells. In preclinical studies, primary human T cells exposed to our lead oral CBL-B ligase inhibitor drug candidate NX-1607 demonstrated increased T cell activation in the absence of co-stimulation with CD3 and CD28, a potential advantage in a suppressive tumor microenvironment. In addition, NX-1607 has been shown in preclinical models to increase T-cell proliferation and result in increased secretion</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of interleukin-2 (IL-2) a key cytokine involved in immune activation. We believe that oral delivery of CBL-B inhibitors has the potential to drive immune cell activation and stimulation of localized IL-2 secretion, leading to enhanced anti-tumor response. As an intracellular immune checkpoint inhibitor, we believe NX-1607 has potential utility across a wide range of oncology indications. We expect to commence a Phase 1 clinical trial in the second half of 2021. We are also planning the development of a second CBL-B ligase inhibitor, NX-0255,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use. We believe incorporating NX-0255 into adoptive cell therapy (ACT) has the potential to enhance T cell proliferation and phenotype to improve anti-tumor activity. We intend to create new drug-enhanced tumor infiltrating lymphocytes (TIL) therapies through our drug-enhanced tumor infiltrating lymphocyte (DeTIL) program and expect to commence a Phase 1 clinical trial using NX-0255 to produce an autologous cellular therapy we call DeTIL-0255 in the second half of 2021. In addition, we have established DeCART Therapeutics Inc. (DeCART), a wholly owned subsidiary, to advance new drug-enhanced chimeric antigen receptor T cell (CAR-T) therapies.</w:t>
      </w:r>
    </w:p>
    <w:p>
      <w:pPr>
        <w:spacing w:after="0" w:line="197"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Beyond our current programs, we are extending our degrader and inhibitor portfolios both on our own and with partners by developing new CTM degraders and ligase inhibitors for a number of targets for which we believe the protein modulation modality can be clinically advantageous over existing therapies. These programs and future programs may have the potential to address diseases with significant unmet need, including autoimmune disease, viral diseases, cancer and neurodegeneration. We have entered into several revenue generating collaborations with large biopharmaceutical companies to leverage our DELigase platform for drug discovery. In December 2019, we entered into a global strategic collaboration with Sanofi, which was subsequently expanded and amended in January 2021, to discover, develop and commercialize a pipeline of innovative targeted protein degradation drugs for patients with challenging diseases in multiple therapeutic areas. In June 2019, we entered into a global strategic collaboration with Gilead to discover, develop and commercialize innovative targeted protein degradation drugs for a wide range of diseases including cancer. Both collaborations allow us to further advance our future pipeline with ten currently identified targets included in these collaborations. In aggregate, we have received $286.0 million</w:t>
      </w:r>
    </w:p>
    <w:p>
      <w:pPr>
        <w:spacing w:after="0" w:line="6"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in non-dilutive financing from our collaborators to date, and as of November 30, 2020, we are eligible to receive up to $4.8 billion in potential future fees and milestone payments, as well as royalties on future product sales. We retain options for co-development and co-commercialization rights in the United States for up to four drug candidates discovered under these collaborations.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w:t>
      </w:r>
    </w:p>
    <w:p>
      <w:pPr>
        <w:spacing w:after="0" w:line="121"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Our strategy is to leverage our DELigase platform to discover breakthrough therapies to improve upon existing drugs and address targets that are thought to be undruggable with current modalities. The key elements of our strategy are to:</w:t>
      </w:r>
    </w:p>
    <w:p>
      <w:pPr>
        <w:spacing w:after="0" w:line="58" w:lineRule="exact"/>
        <w:rPr>
          <w:sz w:val="20"/>
          <w:szCs w:val="20"/>
          <w:color w:val="auto"/>
        </w:rPr>
      </w:pPr>
    </w:p>
    <w:p>
      <w:pPr>
        <w:ind w:left="1160" w:right="40" w:hanging="572"/>
        <w:spacing w:after="0" w:line="289"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Advance our lead programs through clinical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four targeted cancer therapy and immune modulating drug candidates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we are advancing into clinical development in 2021. We expect to dose the first patient in a Phase 1 clinical trial for our lead protein degradation drug candidate, NX-2127, in the first quarter of 2021. We expect to commence a Phase 1 clinical trial for our lead CBL-</w:t>
      </w:r>
    </w:p>
    <w:p>
      <w:pPr>
        <w:spacing w:after="0" w:line="1" w:lineRule="exact"/>
        <w:rPr>
          <w:rFonts w:ascii="Arial" w:cs="Arial" w:eastAsia="Arial" w:hAnsi="Arial"/>
          <w:sz w:val="16"/>
          <w:szCs w:val="16"/>
          <w:color w:val="auto"/>
        </w:rPr>
      </w:pPr>
    </w:p>
    <w:p>
      <w:pPr>
        <w:ind w:left="1160" w:right="260"/>
        <w:spacing w:after="0" w:line="253" w:lineRule="auto"/>
        <w:rPr>
          <w:rFonts w:ascii="Arial" w:cs="Arial" w:eastAsia="Arial" w:hAnsi="Arial"/>
          <w:sz w:val="16"/>
          <w:szCs w:val="16"/>
          <w:color w:val="auto"/>
        </w:rPr>
      </w:pPr>
      <w:r>
        <w:rPr>
          <w:rFonts w:ascii="Arial" w:cs="Arial" w:eastAsia="Arial" w:hAnsi="Arial"/>
          <w:sz w:val="18"/>
          <w:szCs w:val="18"/>
          <w:color w:val="auto"/>
        </w:rPr>
        <w:t>B inhibitor drug candidate, NX-1607, in the second half of 2021. We are also advancing a second BTK CTM program, NX-5948, which may be developed for oncology and graft-versus-host disease (GVHD) with the commencement of a Phase 1 clinical trial planned in the second half of 2021. In addition, we are advancing a second CBL-B inhibitor incorporated into drug-enhanced ACT, DeTIL-0255, and expect to commence a Phase 1 clinical trial in the second half of 2021.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ind w:left="1160" w:hanging="572"/>
        <w:spacing w:after="0" w:line="255"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expand our DELigase platform. </w:t>
      </w:r>
      <w:r>
        <w:rPr>
          <w:rFonts w:ascii="Arial" w:cs="Arial" w:eastAsia="Arial" w:hAnsi="Arial"/>
          <w:sz w:val="18"/>
          <w:szCs w:val="18"/>
          <w:color w:val="auto"/>
        </w:rPr>
        <w:t>Targeted protein modulation is a rapidly emerging therapeutic modality that can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advantages over existing modalities. Our proprietary DELigase platform enables us to advance an industry-leading approach to either selectively decrease or increase protein levels. We intend to continue to invest resources in our research and development activities to expand the breadth of our DELigase platform both in terms of the number of ligases available for drug discovery and the scale of our DEL collection. We plan to leverage our platform capabilities to further enhance our position as a leader in the promising field of protein modulation.</w:t>
      </w:r>
    </w:p>
    <w:p>
      <w:pPr>
        <w:spacing w:after="0" w:line="80" w:lineRule="exact"/>
        <w:rPr>
          <w:rFonts w:ascii="Arial" w:cs="Arial" w:eastAsia="Arial" w:hAnsi="Arial"/>
          <w:sz w:val="18"/>
          <w:szCs w:val="18"/>
          <w:color w:val="auto"/>
        </w:rPr>
      </w:pPr>
    </w:p>
    <w:p>
      <w:pPr>
        <w:ind w:left="1160" w:right="100" w:hanging="572"/>
        <w:spacing w:after="0" w:line="25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Discover and develop new targeted protein modulation drug candidates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select new targets for which we have evidence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modulation of protein levels may provide a distinct therapeutic advantage over traditional small molecule inhibitors, or which have been considered undruggable by existing modalities. We have multiple additional wholly owned and partnered targets in DEL screening, lead optimization and preclinical research. We plan to use our DELigase platform to continue to explore new targets with potential applications in autoimmune, cancer, neurodegeneration and viral diseases.</w:t>
      </w:r>
    </w:p>
    <w:p>
      <w:pPr>
        <w:spacing w:after="0" w:line="75" w:lineRule="exact"/>
        <w:rPr>
          <w:rFonts w:ascii="Arial" w:cs="Arial" w:eastAsia="Arial" w:hAnsi="Arial"/>
          <w:sz w:val="18"/>
          <w:szCs w:val="18"/>
          <w:color w:val="auto"/>
        </w:rPr>
      </w:pPr>
    </w:p>
    <w:p>
      <w:pPr>
        <w:ind w:left="1160" w:right="20" w:hanging="572"/>
        <w:spacing w:after="0" w:line="255"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Explore additional strategic collaborations to fully exploit our DELigase platform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received $286.0 million in non-dilutive funding to date from our partnerships to support our research and development activities and to create new targeted protein modulation drugs with our partners. Under our Sanofi and Gilead partnerships as of November 30, 2020, we have the opportunity to receive up to $4.8 billion in potential future fees and milestone payments, as well as royalties on future sales while retaining certain commercialization options. We plan to continue evaluating additional partnership opportunities that can meaningfully enhance our platform capabilities and help expand our development pipeline, in addition to providing non-dilutive funding to support our broad research and development efforts.</w:t>
      </w:r>
    </w:p>
    <w:p>
      <w:pPr>
        <w:spacing w:after="0" w:line="80" w:lineRule="exact"/>
        <w:rPr>
          <w:rFonts w:ascii="Arial" w:cs="Arial" w:eastAsia="Arial" w:hAnsi="Arial"/>
          <w:sz w:val="18"/>
          <w:szCs w:val="18"/>
          <w:color w:val="auto"/>
        </w:rPr>
      </w:pPr>
    </w:p>
    <w:p>
      <w:pPr>
        <w:ind w:left="1160" w:right="140" w:hanging="572"/>
        <w:spacing w:after="0" w:line="274"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Maximize the commercial potential of our drug candidates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currently retain worldwide development and commercialization rights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BTK and CBL-B portfolios. In addition, we have opt-in rights to jointly commercialize certain drug candidates developed under our Sanofi and Gilead collaborations in the United States. We intend to become a fully integrated biopharmaceutical company and build a targeted sales force in the United States to support the commercialization of our drug candidates, if approved. We intend to selectively evaluate commercialization partnerships for our drug candidates with partners whose capabilities complement our own while retaining meaningful commercial rights in key geographic territories.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proteins in disease and ubiquitin-proteasome system biology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Proteins as targets in treating disease</w:t>
      </w:r>
    </w:p>
    <w:p>
      <w:pPr>
        <w:spacing w:after="0" w:line="117"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Each cell type within the body is comprised of proteins that define its biochemistry and biological function. When proteins are expressed and regulated correctly, the health of each individual cell as well as the body as a whole is maintained. However, disease can occur when normal cellular processes are dysregulated as a result of changes in protein structure, function, expression levels, or pathway regulation. Factors such as genetic mutations, infection, exposure to toxins, diet and behavior can lead to dysregulation of cellular processes and, if unchecked, a disease process.</w:t>
      </w:r>
    </w:p>
    <w:p>
      <w:pPr>
        <w:spacing w:after="0" w:line="171"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The traditional approach to discovering treatments for disease has involved the development of small molecule drugs that bind to a protein’s surface and modulate its activity. These “druggable” proteins contain distinct structural features that mediate protein function called active sites which can be exploited when identifying and optimizing compounds that disrupt protein activity. However, the vast majority of the body’s proteins do not have distinct active sites that can be targeted using traditional discovery methods. Because dysregulation and disease are not restricted to these “druggable” proteins, a significant number of therapeutically relevant proteins have not been addressed by traditional small molecule drugs. Other modalities including antibody and protein-based therapies, genetic medicines and cell therapies have emerged to address these issues but are still limited by their modes of delivery, scalability and their therapeutic applications.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Leveraging E3 ligases and the UPS as a new treatment modality</w:t>
      </w:r>
    </w:p>
    <w:p>
      <w:pPr>
        <w:spacing w:after="0" w:line="11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Normal cellular physiology requires highly orchestrated and regulated processes that operate at the level of individual proteins. The ability of proteins to respond to stimuli quickly and in a coordinated fashion requires protein function to be readily controllable. One of the most exquisitely ordered cellular systems governing cellular proteins is the 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125730</wp:posOffset>
            </wp:positionV>
            <wp:extent cx="5194935" cy="1748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9493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As depicted above, the UPS is responsible for regulating and maintaining normal protein levels in the cell. An important class of enzymes called E3 ligases mediate this process with a high degree of specificity by recognizing individual proteins and catalyzing the attachment of ubiquitin protein tags to their surface. Proteins marked with chains of ubiquitin are then shuttled to the proteasome for degradation and removal from the cell. In addition to protein degradation, E3 ligases also mediate other functions such as protein localization, receptor internalization, protein signaling and protein quality</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control. There are over 600 E3 ligases encoded within the human genome, representing more than 5% of genes. The prevalence of the E3 ligase class of enzymes reflects the diversity of their physiological roles and biological significance and may allow for the creation of a wide spectrum of ligase-targeted therapeutics.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Modulating protein levels through small molecule therapeutics targeting E3 ligases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Advances in our understanding of the UPS suggest broad potential for development of new therapies that modulate E3 ligases in context of diseases such as cancer, neurodegenerative disorders, and autoimmune disorders. An example are the IMiDs, which include the approved cancer drugs Revlimid (lenalidomide) and Pomalyst (pomalidomide). IMiDs exert their therapeutic effects by targeting the E3 ligase cereblon and redirecting its activity toward proteins it would not normally degrade such as Aiolos, a transcription factor regulating immune cell function. Elucidation of this mechanism led to the recognition that pharmacological control of E3 ligase activity could more generally represent a promising new paradigm for small molecule drug action. This idea has since translated into the development of targeted protein degraders, which we believe have significant therapeutic potential. In addition, the largely unexplored area of inhibiting E3 ligases directly to increase cellular protein levels may represent an equally promising approach.</w:t>
      </w:r>
    </w:p>
    <w:p>
      <w:pPr>
        <w:spacing w:after="0" w:line="54" w:lineRule="exact"/>
        <w:rPr>
          <w:sz w:val="20"/>
          <w:szCs w:val="20"/>
          <w:color w:val="auto"/>
        </w:rPr>
      </w:pPr>
    </w:p>
    <w:p>
      <w:pPr>
        <w:ind w:left="1160" w:right="80" w:hanging="572"/>
        <w:spacing w:after="0" w:line="255"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Harnessing E3 ligases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protein degradation harnesses the natural activity of ligases to remove specific proteins from the cell.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protein degradation is accomplished by using bifunctional small molecules, which are composed of an E3 ligase binding element, or harness, linked to a target protein binding element. Unlike traditional small molecule inhibition, targeted protein degradation is catalytic whereby one molecule can induce the degradation of multiple copies of the protein target, enabling the efficient elimination of cellular proteins. In addition, since the effect is mediated through the binding of a small molecule drug rather than through functional inhibition, proteins lacking active sites are potentially targetable, greatly expanding the spectrum of both proteins and diseases amenable to small molecule therapeutic intervention.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ind w:left="1160" w:right="20" w:hanging="572"/>
        <w:spacing w:after="0" w:line="258"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Inhibiting E3 ligases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inhibiting the function of E3 ligases, it is possible to rapidly increase specific proteins levels to control biological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pathways. Increasing the levels of distinct sets of proteins could be a powerful approach to blocking pathological processes and restoring normal physiology. While there is enthusiasm in the scientific community around the therapeutic potential of E3 ligase inhibition, the discovery of such inhibitors has been impeded by the limited understanding of this biochemically and structurally complex class of enzymes.</w:t>
      </w:r>
    </w:p>
    <w:p>
      <w:pPr>
        <w:spacing w:after="0" w:line="187"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We believe that targeting E3 ligases to modulate protein levels represents a new therapeutic frontier that retains the favorable attributes of small molecule treatment modalities while addressing some major limitations. In addition to the points above, we believe other key differentiating attributes of our treatment modality include:</w:t>
      </w:r>
    </w:p>
    <w:p>
      <w:pPr>
        <w:spacing w:after="0" w:line="72" w:lineRule="exact"/>
        <w:rPr>
          <w:sz w:val="20"/>
          <w:szCs w:val="20"/>
          <w:color w:val="auto"/>
        </w:rPr>
      </w:pPr>
    </w:p>
    <w:p>
      <w:pPr>
        <w:ind w:left="1160" w:right="480" w:hanging="572"/>
        <w:spacing w:after="0" w:line="282"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Expansive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UPS and its associated E3 ligases function across the majority of cell types and organ systems,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making it possible to modulate virtually any protein of interest for a wide range of diseases.</w:t>
      </w:r>
    </w:p>
    <w:p>
      <w:pPr>
        <w:spacing w:after="0" w:line="53" w:lineRule="exact"/>
        <w:rPr>
          <w:rFonts w:ascii="Arial" w:cs="Arial" w:eastAsia="Arial" w:hAnsi="Arial"/>
          <w:sz w:val="18"/>
          <w:szCs w:val="18"/>
          <w:color w:val="auto"/>
        </w:rPr>
      </w:pPr>
    </w:p>
    <w:p>
      <w:pPr>
        <w:ind w:left="1160" w:right="460" w:hanging="572"/>
        <w:spacing w:after="0" w:line="282"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Deliverable and Tunable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Oral delivery of small molecule compounds lends itself to broad medical applicability in a range of 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populations with delivery that may be readily calibrated through dosing schedule and quantity.</w:t>
      </w:r>
    </w:p>
    <w:p>
      <w:pPr>
        <w:spacing w:after="0" w:line="5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Ease of manufacturing</w:t>
      </w:r>
      <w:r>
        <w:rPr>
          <w:rFonts w:ascii="Arial" w:cs="Arial" w:eastAsia="Arial" w:hAnsi="Arial"/>
          <w:sz w:val="18"/>
          <w:szCs w:val="18"/>
          <w:color w:val="auto"/>
        </w:rPr>
        <w:t>. Development and manufacturing of small molecules utilizes established, cost-efficient processes that are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approach leverages the specificity of E3 ligases and the natural function of the UPS to regulate the cellular proteome for therapeutic effect. Development of therapies that modulate E3 ligases has been historically limited by the inherent difficulties in building biochemical and cellular assays relevant for measuring E3 ligase function, as well as by the relative lack of mechanistic understanding of this critical class of proteins. Through our focused efforts and investment over the past several years, we have developed proprietary tools, in-depth knowledge and expertise relating to E3 ligases as targets for drug discovery. In addition, we have assembled a team that has extensive experience applying DEL discovery technologies to a wide variety of proteins including targets previously considered undruggable. Together, these capabilities and insights have allowed us to develop a powerful platform technology called DELigase to identify and advance novel drug candidates that either selectively increase or decrease protein levels within the cell.</w:t>
      </w:r>
    </w:p>
    <w:p>
      <w:pPr>
        <w:spacing w:after="0" w:line="16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Our DELigase platform combines our proprietary DELs and E3 ligase expertise to empower efficient drug discovery. DEL technology is well suited to finding new binders for targets thought to be undruggable, which include the vast majority of proteins encoded in the human genome including E3 ligases.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Our DELigase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220345</wp:posOffset>
            </wp:positionV>
            <wp:extent cx="5212080" cy="2194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 technology taps enormous chemical space to overcome “druggability” limits</w:t>
      </w:r>
    </w:p>
    <w:p>
      <w:pPr>
        <w:spacing w:after="0" w:line="117"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Our DEL collection comprises several billion compounds whereas typical screening collections contain less than a few million. This increased scale provides the necessary chemical diversity to identify chemical starting points for more challenging protein targets that have been considered undruggable by other approaches. DEL technology evaluates each library compound simultaneously in a single experiment, enabling a more accurate assessment of compound function. In addition, because DEL drug discovery is performed by measuring compound binding rather than biochemical activity it allows inclusion of proteins for which biochemical assays are lacking or not feasible. Further, the relative ease with which binding screens can be performed and interpreted provides sufficient flexibility to allow evaluation of structurally complicated proteins like E3 ligases, which display distinct conformations and activity states and are often part of large multi-protein complexes. Lastly, a chemical linker attaches each DEL compound to a strand of DNA, which functions as a structure barcode allowing screening hits to be easily identified. DEL’s built in chemical linker is also an advantage in the context of identifying bifunctional degraders, as it allows the discovery of compounds that can effectively bind proteins when linked to a partner molecule.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DELigase platform was designed for E3 ligase discovery</w:t>
      </w:r>
    </w:p>
    <w:p>
      <w:pPr>
        <w:spacing w:after="0" w:line="117"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Our integrated DELigase platform relies on proprietary DELs we have specifically engineered to identify and select binders against a diverse group of target protein classes, including some considered to be undruggable, as well as binders to E3 ligases. Key features of our DELigase platform include:</w:t>
      </w:r>
    </w:p>
    <w:p>
      <w:pPr>
        <w:spacing w:after="0" w:line="16" w:lineRule="exact"/>
        <w:rPr>
          <w:sz w:val="20"/>
          <w:szCs w:val="20"/>
          <w:color w:val="auto"/>
        </w:rPr>
      </w:pPr>
    </w:p>
    <w:p>
      <w:pPr>
        <w:ind w:left="1160" w:hanging="572"/>
        <w:spacing w:after="0" w:line="311"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Custom-synthesized scaffold-based DELs. </w:t>
      </w:r>
      <w:r>
        <w:rPr>
          <w:rFonts w:ascii="Arial" w:cs="Arial" w:eastAsia="Arial" w:hAnsi="Arial"/>
          <w:sz w:val="16"/>
          <w:szCs w:val="16"/>
          <w:color w:val="auto"/>
        </w:rPr>
        <w:t>Our custom-synthesized chemical scaffolds impart desirable, drug-like chemical properties, like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solubility, into each library compound in a manner that cannot be achieved when building DEL collections solely from commercial inputs. In addition, these scaffolds are ideally suited for binding to the shallow binding pockets on the surfaces of proteins like E3 ligases.</w:t>
      </w:r>
    </w:p>
    <w:p>
      <w:pPr>
        <w:spacing w:after="0" w:line="36" w:lineRule="exact"/>
        <w:rPr>
          <w:rFonts w:ascii="Arial" w:cs="Arial" w:eastAsia="Arial" w:hAnsi="Arial"/>
          <w:sz w:val="16"/>
          <w:szCs w:val="16"/>
          <w:color w:val="auto"/>
        </w:rPr>
      </w:pPr>
    </w:p>
    <w:p>
      <w:pPr>
        <w:ind w:left="1160" w:right="40" w:hanging="572"/>
        <w:spacing w:after="0" w:line="256"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Covalent small molecule discovery using DELs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expertise in aqueous synthetic chemistry and affinity screening technology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allowed us to integrate covalent drug discovery into our DELigase platform through the introduction of covalent DELs. The formation of a covalent bond enables more efficient identification of binders to transient or cryptic binding pockets on a protein’s surface, making covalent DELs an ideal discovery tool for challenging protein targets like E3 ligases. In addition, covalent and reversible covalent compounds have begun to show promise in augmenting performance of targeted protein degraders, suggesting that our covalent DELs may have additional utility.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 w:name="page10"/>
    <w:bookmarkEnd w:id="9"/>
    <w:p>
      <w:pPr>
        <w:ind w:left="1160" w:hanging="572"/>
        <w:spacing w:after="0" w:line="281"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data analysis and hit confirmation technologies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built a suite of custom analytical tools including machine learning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interpretation and prioritization of our DEL binder outputs, which routinely contain thousands of productive hits. We have also developed high throughput methods for nanoscale hit resynthesis and affinity selection mass spectroscopy that allow a more comprehensive and industrialized process for identifying the best chemical starting points for future pipeline programs.</w:t>
      </w:r>
    </w:p>
    <w:p>
      <w:pPr>
        <w:spacing w:after="0" w:line="56" w:lineRule="exact"/>
        <w:rPr>
          <w:rFonts w:ascii="Arial" w:cs="Arial" w:eastAsia="Arial" w:hAnsi="Arial"/>
          <w:sz w:val="17"/>
          <w:szCs w:val="17"/>
          <w:color w:val="auto"/>
        </w:rPr>
      </w:pPr>
    </w:p>
    <w:p>
      <w:pPr>
        <w:jc w:val="both"/>
        <w:ind w:left="1160" w:right="20" w:hanging="572"/>
        <w:spacing w:after="0" w:line="266"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Many screens, one protein target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E3 ligases can exist in multiple potential conformation states. Our approach uses comprehensive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screening campaigns to interrogate numerous states and surfaces of the target protein. An illustration of how we probe the surface of an E3 ligase by DEL screening is depicted in the graphic below.</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An E3 Ligase protein complex bound to a DEL molecule representing just one of several possible protein conformations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237490</wp:posOffset>
            </wp:positionV>
            <wp:extent cx="5194935" cy="2331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9493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DELigase discovery platform enables us to address multiple therapeutic applications</w:t>
      </w:r>
    </w:p>
    <w:p>
      <w:pPr>
        <w:spacing w:after="0" w:line="11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We have expanded the universe of E3 ligases available for therapeutic manipulation from the two predominantly used in the field, cereblon and VHL, by screening over 30 additional E3 ligases to date. We have carefully selected these E3 ligases for use in drug discovery across our four core areas of therapeutic expertise: oncology, immuno-oncology, ACT and immune disorders. We consider the unique biological function of each ligase and the therapeutic requirements of the disease state for inhibitor programs. For ligases that direct targeted protein degradation, we take into account the biochemical specificity of the E3 ligase as well as tissue specificity of action and cellular localization of the target protein. E3 ligases that are required for cancer cell survival are also of high interest for cancer indications to reduce the risk of intrinsic resistance to degrader action. We are growing our set of E3 ligases for use in our DELigase platform tailored to our core therapeutic areas.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DELigase for E3 ligase harnesses</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We apply our platform to utilize the ubiquitination function of E3 ligases for targeted protein degradation. Our DELigase platform enables us to identify binders to E3 ligases, which we refer to as harnesses, as well as binders to degradation targets. We use these molecular starting points to design compounds using a modular approach that connects an E3 ligase harness to a target protein binder with a linker. We refer to these bifunctional molecules as CTMs, which function by bringing the E3 ligase into proximity of the target protein to catalyzing its ubiquitination and degradation. The process of designing CTMs and their activity is shown in the graphic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i w:val="1"/>
          <w:iCs w:val="1"/>
          <w:color w:val="auto"/>
        </w:rPr>
        <w:t>DELigase allows the discovery of small molecule binders in the context of a chemical linker, enabling CTM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237490</wp:posOffset>
            </wp:positionV>
            <wp:extent cx="5194935" cy="2348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9493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DELigase for E3 ligase inhibitors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By inhibiting the function of E3 ligases, it is possible to rapidly increase specific protein levels to control biological pathways. Increasing the levels of distinct sets of proteins could be a powerful approach to blocking pathological processes and restoring normal physiology. Our DELigase platform enables the identification of inhibitors through parallel screening of distinct E3 ligase activity states using chemical matter tailored specifically for binding to E3 ligases. Our substantial expertise in E3 ligase biochemistry and biology has allowed us to identify and develop potent inhibitors of E3 ligases that play pivotal roles in T cell signaling and immune cell function.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DELs allow access to a spectrum of binders across the protein surface, some of which inhibit protein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168910</wp:posOffset>
            </wp:positionV>
            <wp:extent cx="4886325" cy="2606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8632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Drug candidate identification and selection process</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employ a series of processes and studies from target validation to preclinical development for selection of the appropriate candidate for further development. We have invested in an integrated drug development infrastructure that enables us to perform every step of the drug discovery and early preclinical development process within our research facility. Each of our primary areas of core expertise and technology are highlighted in the below illustration.</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Our integrated drug discovery and development system and core technical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151765</wp:posOffset>
            </wp:positionV>
            <wp:extent cx="5177790" cy="3017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779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90"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Our Drug Candidates</w:t>
      </w:r>
    </w:p>
    <w:p>
      <w:pPr>
        <w:spacing w:after="0" w:line="121"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Our pipeline consists of a protein degradation portfolio of CTM drug candidates that degrade target proteins and our ligase inhibitor portfolio of drug candidates that raise substrate protein levels. These two portfolios demonstrate our ability to both increase and decrease protein levels in cells through the modulation of E3 ligases.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125730</wp:posOffset>
            </wp:positionV>
            <wp:extent cx="5349240" cy="4063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Expected commencement of Phase 1 clinical trial timing based on calendar year quarters.</w:t>
      </w:r>
    </w:p>
    <w:p>
      <w:pPr>
        <w:spacing w:after="0" w:line="22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addition to our CBL-B and BTK portfolios, our wholly owned drug discovery pipeline includes several CTM programs that are at DEL discovery, cell-based screening and lead optimization stages. Our CTM drug discovery programs include KINASE-CTM3, a kinase involved in T cell growth and activation that we are pursuing to treat T cell malignancies and autoimmune disease, and which is in lead optimization. We have also initiated three programs that are at DEL discovery and cell-based screening stages that are designed to apply targeted protein degradation to SARs CoV2 targets. COVID-CTM1, COVID-CTM2 and COVID-CTM3 have been selected based on their multi-functional nature at critical points within the viral life cycle. We believe targeted protein degradation may offer an advantage over existing anti-viral agents, which largely focus on a limited set of viral targets that can be inhibited by small molecules. The fundamentally different pharmaco-kinetic and pharmaco-dynamic action of CTMs, due to the catalytic nature of ligase-mediated degradation, may allow for the rapid removal of viral proteins and successful interruption of the viral life cycle. In addition, we have over 30 ligase programs at various stages of DEL discovery, cell-based screening and lead optimization, including LIGASE-INH2, with potential applications in immuno-oncology, which is in lead optimization. LIGASE-INH2 is differentiated from our CBL-B program in that we believe its primary mode of action is through natural killer cells.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13" w:name="page14"/>
    <w:bookmarkEnd w:id="13"/>
    <w:p>
      <w:pPr>
        <w:ind w:right="200" w:firstLine="589"/>
        <w:spacing w:after="0" w:line="275" w:lineRule="auto"/>
        <w:rPr>
          <w:sz w:val="20"/>
          <w:szCs w:val="20"/>
          <w:color w:val="auto"/>
        </w:rPr>
      </w:pPr>
      <w:r>
        <w:rPr>
          <w:rFonts w:ascii="Arial" w:cs="Arial" w:eastAsia="Arial" w:hAnsi="Arial"/>
          <w:sz w:val="17"/>
          <w:szCs w:val="17"/>
          <w:color w:val="auto"/>
        </w:rPr>
        <w:t>Although we believe our product candidates have the potential to improve upon existing drugs and address targets that are thought to be undruggable with current modalities, we will need to complete additional preclinical studies and clinical trials to determine the safety and efficacy of our product candidates. The results of these future studies and trials may be different than the results of our earlier studies and trials. We have not received regulatory approval for any of our product candidates, and in order to obtain regulatory approval and commercialize our product candidates, the FDA or foreign regulatory agencies will need to determine that our product candidates are safe and effective.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Protein degradation portfolio: Bruton’s Tyrosine Kinase degraders</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have developed a series of CTMs that are potent degraders of the BTK protein, a genetically validated signaling factor that drives B-cell activation and proliferation. Our BTK degraders use the E3 ligase cereblon and may be engineered to include IMiD activity, a well validated mechanism to treat hematologic malignancies. Our lead BTK CTM development candidate, NX-2127, is a dual degrader of both BTK and Aiolos, a protein target of IMiD drugs. In certain B-cell malignancy indications, we believe dual activity may provide therapeutic advantages that could result in improved outcomes. We expect to dose the first patient in a Phase 1 clinical trial for NX-2127 in the first quarter of 2021. Our second BTK CTM drug program, NX-5948, is a BTK degrader designed to have limited or no IMiD activity for potential applications in indications where sparing IMiD activity may be beneficial. We expect to commence a Phase 1 clinical trial of NX-5948 in the second half of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BTK’s role in B-cell malignancy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BTK is a key component of the B-cell receptor signaling pathway and has been clinically validated as a target in the treatment of B-</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cell malignancies. It is estimated that approximately 77,000 people in the United States will be diagnosed with NHLs in 2020. Approximately 85% of NHLs are a result of B-cell malignancies. The natural progression of NHL varies widely and takes multiple forms, ranging from aggressive subtypes such as diffuse large B-cell lymphoma (DLBCL), to more indolent forms such as follicular lymphoma (FL), which account for approximately 30% and 22% of all NHL cases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148590</wp:posOffset>
            </wp:positionV>
            <wp:extent cx="5212080" cy="267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Background on BTK inhibitors and IMiDs for B-cell malignancies</w:t>
      </w:r>
    </w:p>
    <w:p>
      <w:pPr>
        <w:spacing w:after="0" w:line="11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BTK inhibitor Imbruvica (ibrutinib) is approved for the treatment of CLL and various forms of NHLs, including mantle cell lymphoma (MCL), Waldenstrom’s macroglobulinemia (WM), and marginal zone lymphoma (MZL). Calquence, or acalabrutinib, is approved for use in CLL and MCL, and Brukinsa, or zanubrutinib, is approved for use in MCL. In 2020, global sales of BTK inhibitors were approximately $7.1 billion. These BTK inhibitors bind covalently to cysteine C481 of the BTK protein and irreversibly inhibit BTK; however, all have some off-target binding to other kinases, which leads to unwanted side effects. In addition, acquired resistance, most commonly through mutations in C481, may limit long term efficacy of these first generation BTK inhibitors. A number of noncovalent BTK inhibitors are currently being investigated in clinical trials as potential therapies for patients with relapsed and refractory disease. We believe targeted protein degradation of BTK may be a superior approach to existing covalent or noncovalent BTK inhibitors that only inhibit enzyme activity, particularly in the relapsed and refractory setting.</w:t>
      </w:r>
    </w:p>
    <w:p>
      <w:pPr>
        <w:spacing w:after="0" w:line="178"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IMiDs are analogs of Thalomid, or thalidomide, including Revlimid, or lenalidomide, and Pomalyst, or pomalidomide, which possess several anti-tumor properties, including anti-angiogenic and anti-proliferative effects. IMiDs also have multiple effects on the immune system, including enhancement of T cell mediated and NK cell mediated immunity. Revlimid, the market leading IMiD by global sales, was first approved in 2006 for the treatment of multiple myeloma. In May of 2019, Revlimid in combination with Rituxan received a supplemental indication approval for previously treated FL, MZL and MCL, and in August of 2020, Revlimid in combination with Monjuvi received a supplemental indication in DLBCL, thus validating the importance of the IMiD activity in these indications. In 2020, global sales of Revlimid were approximately $12 billion. Subsequent to their approval and successful commercialization, studies demonstrated that IMiDs exert their therapeutic effect by triggering the degradation of specific proteins including Aiolos through the E3 ligase activity of cereblon and hence were identified retrospectively as the first approved drugs to target an E3 ligase.</w:t>
      </w:r>
    </w:p>
    <w:p>
      <w:pPr>
        <w:spacing w:after="0" w:line="165"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Published studies have recently reported early clinical data showing that combining a BTK inhibitor with an IMiD may have the potential to augment clinical activity of certain standard of care agents in some hematologic malignancies such as DLBCL. Further, scientific publications have previously described synthetic lethality in a DLBCL cell line treated with both ibrutinib and lenalidomide. By targeting both BTK and IMiD pathways simultaneously, it is believed that the redundant survival mechanisms driven by accumulated mutations within certain cancers can be overcome, thereby preventing escape and disease relapse. This may be especially effective if each pathway has not only different functions but also if they share certain critical parts in common. Specifically, the two mechanisms of BTK inhibition and IMiD activity are thought to intersect through the suppression of interferon regulatory factor 4, a member of a family of transcription factors leading to a cell lethal increase in interferon production. The early clinical study cited above was particularly noteworthy since few combinations have previously produced promising results in DLBCL. This may suggest that simultaneous degradation of BTK combined with IMiD activity by a single agent could produce a synergistic or additive effect in certain B-cell malignancies.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BTK in autoimmune disease and related disorders</w:t>
      </w:r>
    </w:p>
    <w:p>
      <w:pPr>
        <w:spacing w:after="0" w:line="117"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B-cell responses to foreign antigens are mediated through BTK interaction with B-cell receptors, initiating a signaling cascade central in the production of antibodies, proinflammatory cytokines and chemokines, as illustrated in the figure above on the right side. BTK is also expressed at high levels in certain myeloid cells, such as macrophages and granulocytes, in which receptor activation by immune complexes promotes BTK mediated expression of proinflammatory cytokines and cell adhesion molecules. Collectively, these actions contribute to the selective elimination of foreign antigens by the immune system. However, the immune system can mistakenly identify self-proteins as foreign antigens leading to autoimmunity, and the role of BTK in promoting the inflammatory process has been implicated in a number of autoimmune disorders. GVHD is one such autoimmune-like disorder that can occur as a result of an allogeneic bone marrow or hematopoietic stem cell transplant (HSCT). In GVHD, the donated bone marrow or peripheral blood stem cells view the recipient’s host cells as foreign, and the donated cells attack the host’s normal healthy cells. There are two forms of GVHD—an acute form mediated primarily by T cells, and a chronic form which involves T cells, B-cells, dendritic cells, monocytes and macrophages. Transplant recipients may experience either or both forms. The condition is estimated to occur in 30% to 70% percent of all patients who receive an HSCT. The BTK inhibitor ibrutinib is approved for chronic GVHD in patients that do not have an adequate response to steroids. There are a number of other BTK inhibitors which are currently being investigated in clinical trials as potential therapies for autoimmune disorders.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Preclinical development of BTK degraders</w:t>
      </w:r>
    </w:p>
    <w:p>
      <w:pPr>
        <w:spacing w:after="0" w:line="117"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We have conducted preclinical studies to select BTK CTMs for clinical development. We have demonstrated that certain of our BTK CTMs can induce BTK degradation and inhibit tumor growth with oral administration in xenograft mouse models implanted with both wild type and ibrutinib-resistant lymphoma cell lines. As our BTK CTM portfolio advanced, we also explored the potential clinical utility of dual degraders of BTK and Aiolos, a target protein of IMiDs. Our preclinical research has suggested the feasibility of developing an oral, small molecule drug candidate such as NX-2127 with favorable properties and the ability to potently and selectively degrade these target proteins.</w:t>
      </w:r>
    </w:p>
    <w:p>
      <w:pPr>
        <w:spacing w:after="0" w:line="176"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 xml:space="preserve">We have demonstrated that certain of our BTK CTMs induce rapid BTK degradation over time in a lymphoma cell line as compared to a control protein, with nearly complete loss of BTK within four hours of administration as shown in the figure below on the left. In addition, we have demonstrated that certain of our BTK CTMs can potently induce BTK degradation in cells from CLL patients in a concentration dependent manner </w:t>
      </w:r>
      <w:r>
        <w:rPr>
          <w:rFonts w:ascii="Arial" w:cs="Arial" w:eastAsia="Arial" w:hAnsi="Arial"/>
          <w:sz w:val="18"/>
          <w:szCs w:val="18"/>
          <w:i w:val="1"/>
          <w:iCs w:val="1"/>
          <w:color w:val="auto"/>
        </w:rPr>
        <w:t>ex vivo</w:t>
      </w:r>
      <w:r>
        <w:rPr>
          <w:rFonts w:ascii="Arial" w:cs="Arial" w:eastAsia="Arial" w:hAnsi="Arial"/>
          <w:sz w:val="18"/>
          <w:szCs w:val="18"/>
          <w:color w:val="auto"/>
        </w:rPr>
        <w:t>, as shown in the figure below on the right. The precursor compound BTK CTM 1.2 shown in the figure and graph below led to the optimization and selection of NX-2127 as a development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145415</wp:posOffset>
            </wp:positionV>
            <wp:extent cx="5160645" cy="2486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6064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have optimized our CTMs to be able to degrade both wild type BTK and the C481S variant of BTK that has been identified as the most common mutation in patients who have become resistant to ibrutinib therapy over time. Using a human lymphoma cell line, we have demonstrated that certain of our BTK CTMs have an ability to degrade BTK and inhibit growth of tumor cell lines that are resistant to ibrutinib. As shown in the charts below, our BTK CTM can inhibit both wild type and ibrutinib-resistant tumor cell line growth at lower concentrations compared to ibrutinib and other non-covalent inhibitors of BTK such as vecabrutinib and acalabrutinib, and we believe it could prove superior to other BTK inhibitors in treating resistance mutations. The precursor compound BTK CTM 1.2 shown in the graphs below led to the optimization and selection of NX-2127 as a development candidate.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Potent tumor growth inhibition was achieved at varying doses of orally administered NX-2127 in mouse xenograft tumor models with a wild type BTK protein, as shown in the figure below on the left, as well in a tumor containing the C481S ibrutinib-resistance mutations, as shown in the figure below on the right. The activity of NX-2127 in the figure below is compared to a similar dose of the approved BTK inhibitor ibrutinib.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131445</wp:posOffset>
            </wp:positionV>
            <wp:extent cx="5349240" cy="2263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40" w:firstLine="589"/>
        <w:spacing w:after="0" w:line="273" w:lineRule="auto"/>
        <w:rPr>
          <w:sz w:val="20"/>
          <w:szCs w:val="20"/>
          <w:color w:val="auto"/>
        </w:rPr>
      </w:pPr>
      <w:r>
        <w:rPr>
          <w:rFonts w:ascii="Arial" w:cs="Arial" w:eastAsia="Arial" w:hAnsi="Arial"/>
          <w:sz w:val="17"/>
          <w:szCs w:val="17"/>
          <w:color w:val="auto"/>
        </w:rPr>
        <w:t>In addition to BTK degradation, we have also demonstrated the ability of certain of our BTK CTMs to degrade Aiolos, a protein target of IMiD drugs in preclinical studies, as shown in the figure below on the left. Studies in human T cells comparing NX-2127 to the IMiD drugs lenalidomide and pomalidomide have shown comparable Aiolos degradation and resultant T cell activation, as shown in the figure below on the right. Based on the clinical data of both ibrutinib and the IMiDs in B-cell malignancies, we believe that this strategy of targeting both BTK and Aiolos in a single oral treatment may improve anti-tumor activity. We have also designed a second clinical candidate, NX-5948, to degrade BTK with limited or no IMiD activity for potential applications in indications where sparing IMiD activity may be beneficial.</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389255</wp:posOffset>
            </wp:positionV>
            <wp:extent cx="5151755" cy="2074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15175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NX-2127, a development candidate for the treatment of B-cell malignancies</w:t>
      </w:r>
    </w:p>
    <w:p>
      <w:pPr>
        <w:spacing w:after="0" w:line="117"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 xml:space="preserve">Despite the increasing number of approved treatments for B-cell malignancies, significant unmet need remains for patients with relapsed, refractory disease. We believe that NX-2127, a novel agent with a dual BTK and Aiolos degradation mechanism of action, could address such patient populations. We have conducted a preclinical program to characterize NX-2127 as our lead development candidate. NX-2127 has demonstrated promising activity in multiple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using human cancer cell lines. Oral administration of NX-2127 demonstrated dose proportional degradation of BTK proteins in mouse models and showed potent anti-tumor activity against C481S ibrutinib-resistant lymphoma in a xenograft mouse tumor model. NX-</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2127 demonstrated favorable drug-like characteristics 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performed through our preclinical development candidate selection process. Taken together, these data suggest that NX-2127 could have a favorable efficacy profile against both wild type and ibrutinib-resistant BTK alleles in CLL as well as in other indications including DLBCL and FL where ibrutinib or IMiDs alone do not provide sufficient clinical benefit. However, the FDA has not yet approved NX-2127 and we will need to complete clinical trials to determine whether it is safe and effective. We expect to dose the first patient in a Phase 1 clinical trial in the first quarter of 2021.</w:t>
      </w:r>
    </w:p>
    <w:p>
      <w:pPr>
        <w:spacing w:after="0" w:line="191"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We have conducted exploratory oral dose range-finding (DRF) studies with NX-2127 in mice and non-human primates (NHPs) to identify appropriate dose levels for evaluation in good laboratory practice (GLP) compliant 28-day IND-enabling toxicology studies. In addition to standard safety and toxicology assessments, in NHP studies, we included clinically relevant pharmacodynamic measures of BTK protein levels in the blood as measured by flow cytometry. BTK levels were measured at various time points after dose administration on the first (Day 1) and last (Day 19) day of once daily dosing; the results are shown in the graphs below. As illustrated in the figures below, a single oral dose as low as 1 mg per kg (mpk) of NX-2127 degraded BTK as early as 4 hours post administration, to more than 90% degradation through 24 hours post administration on Day 1. BTK protein levels remained suppressed throughout the 19-day duration of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139065</wp:posOffset>
            </wp:positionV>
            <wp:extent cx="5194935" cy="13373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9493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ind w:firstLine="589"/>
        <w:spacing w:after="0" w:line="291" w:lineRule="auto"/>
        <w:rPr>
          <w:sz w:val="20"/>
          <w:szCs w:val="20"/>
          <w:color w:val="auto"/>
        </w:rPr>
      </w:pPr>
      <w:r>
        <w:rPr>
          <w:rFonts w:ascii="Arial" w:cs="Arial" w:eastAsia="Arial" w:hAnsi="Arial"/>
          <w:sz w:val="16"/>
          <w:szCs w:val="16"/>
          <w:color w:val="auto"/>
        </w:rPr>
        <w:t>Safety observations in the 14-day non-GLP exploratory oral DRF toxicity study in NHPs noted slight to severe bruising of the skin on various parts of the body, mild degeneration of muscle, localized swelling of the face and mild hemorrhage in certain internal organs at the two highest dose levels evaluated (30 and 100 mpk), but were absent or mild in animals in the two lower, clinically relevant, doses (1 and 10 mpk) and vehicle-treated control groups. In the 19-day non-GLP exploratory oral DRF toxicity study in NHPs, these safety observations were absent in animals in the three lower clinically relevant dose groups (1, 3 and 10 mpk) and vehicle-treated control groups. All animals survived through the studies with no effects on body weight or food consumption. Such findings may be associated with BTK or related targets, and increased bleeding risk has been a reported side effect of approved BTK inhibitors. We have completed the in-life phases of GLP-compliant 28-day oral toxicity studies with NX-2127 in mice and NHPs.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plans for NX-2127</w:t>
      </w:r>
    </w:p>
    <w:p>
      <w:pPr>
        <w:spacing w:after="0" w:line="117"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We plan to study the pharmacology of NX-2127 in multiple subtypes of relapsed and refractory B-cell malignancies, including those in which ibrutinib has shown only modest effects or is ineffective, as in the case of CLL patients with the C481 mutation. Furthermore, indications in which IMiD activity could augment responses are of high interest. These indications include DLBCL, MZL and FL. We anticipate testing NX-2127 in additional B-cell malignancies, such as CLL, WM and MCL, where IMiDs are not approved but may have shown modest responses, including in patients who have acquired ibrutinib-resistance or are ibrutinib intolerant. We plan to expedite development in indications where NX-2127 shows evidence of compelling clinical activity and where there is high unmet need.</w:t>
      </w:r>
    </w:p>
    <w:p>
      <w:pPr>
        <w:spacing w:after="0" w:line="192"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As illustrated in the diagram below, we have designed a two-part Phase 1 clinical trial of NX-2127 in patients with relapsed or refractory NHL and CLL. The Phase 1a portion will be designed as a monotherapy dose escalation trial to investigate the safety and tolerability of NX-2127 and to identify a maximum tolerated dose for further evaluation. The Phase 1b portion of the trial will be designed as a monotherapy expansion trial in five cohorts of up to 20 patients each. The five cohorts include CLL patients, CLL patients with the C481 mutation, patients with MCL, MZL or WM, patients with FL and patients with DLBCL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145415</wp:posOffset>
            </wp:positionV>
            <wp:extent cx="4680585" cy="3068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8058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Clinical development plans for NX-5948</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NX-5948 is an orally bioavailable, potent degrader of BTK that is differentiated from NX-2127 in possessing limited or no IMiD activity. NX-5948 has demonstrated potent anti-tumor activity in mouse xenograft models of B-cell malignancies as well as degradation of BTK after oral dosing of NHPs as determined by flow cytometry measuring BTK protein levels in the blood. NX-5948 has potential utility for certain B-cell malignancies where IMiD activity may be less important in achieving a therapeutic benefit and also in autoimmune disease such as GVHD. We expect to commence a Phase 1 clinical trial in the second half of 2021 in patients with relapsed or refractory NHL and CLL.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Ligase inhibitor portfolio: CBL-B ligase inhibitors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CBL-B</w:t>
      </w:r>
    </w:p>
    <w:p>
      <w:pPr>
        <w:spacing w:after="0" w:line="117" w:lineRule="exact"/>
        <w:rPr>
          <w:sz w:val="20"/>
          <w:szCs w:val="20"/>
          <w:color w:val="auto"/>
        </w:rPr>
      </w:pPr>
    </w:p>
    <w:p>
      <w:pPr>
        <w:ind w:right="340" w:firstLine="589"/>
        <w:spacing w:after="0" w:line="301" w:lineRule="auto"/>
        <w:rPr>
          <w:sz w:val="20"/>
          <w:szCs w:val="20"/>
          <w:color w:val="auto"/>
        </w:rPr>
      </w:pPr>
      <w:r>
        <w:rPr>
          <w:rFonts w:ascii="Arial" w:cs="Arial" w:eastAsia="Arial" w:hAnsi="Arial"/>
          <w:sz w:val="16"/>
          <w:szCs w:val="16"/>
          <w:color w:val="auto"/>
        </w:rPr>
        <w:t>T cells play a key role in cell-mediated adaptive immune response. Activation, expansion and function of antigen-specific T cells is a multistep process and its outcome depends on the balance of positive and negative feedback mechanisms controlling each step. Many factors can hamper the development of an efficient anti-tumor immune response, such as insufficient expression of tumor antigens, defective antigen presentation, inhibitory molecular interactions including those effected by immune checkpoints, immune suppressive factors or suppressor cells and T cell exhaustion.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108585</wp:posOffset>
            </wp:positionV>
            <wp:extent cx="4680585" cy="2074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8058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firstLine="589"/>
        <w:spacing w:after="0" w:line="286" w:lineRule="auto"/>
        <w:rPr>
          <w:sz w:val="20"/>
          <w:szCs w:val="20"/>
          <w:color w:val="auto"/>
        </w:rPr>
      </w:pPr>
      <w:r>
        <w:rPr>
          <w:rFonts w:ascii="Arial" w:cs="Arial" w:eastAsia="Arial" w:hAnsi="Arial"/>
          <w:sz w:val="16"/>
          <w:szCs w:val="16"/>
          <w:color w:val="auto"/>
        </w:rPr>
        <w:t>CBL-B, an E3 ligase expressed in immune cell lineages, functions as an intracellular immune checkpoint that negatively regulates T cell activation and immune response, as illustrated above. CBL-B deficient animal models demonstrate enhanced signal dependent T cell activation and robust T cell dependent anti-tumor immunity. We believe that our oral, small molecule CBL-B inhibitors have several potential immunotherapy applications through enhancing T cell mediated anti-tumor activity by lowering the activation threshold of T cells in a suppressive tumor microenvironment</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where CBL-B plays a key role in the downregulation of T cells. We are planning to develop our lead oral CBL-B inhibitor, NX-1607, in multiple solid tumors as monotherapy or in combination with other mechanistically complementary therapies. Solid tumors represent approximately 90% of adult human cancers, with estimated new cases in 2020 ranging from approximately 14,000 for cervix uteri cancer to 275,000 for breast cancer. Various immunotherapy strategies have been developed in order to increase the efficiency of anti-tumor immune response, including the use of antibody checkpoint inhibitors such as anti-PD-1, anti-PD-L1, and anti-CTLA-4, which block the “brakes” of immune response. These immune-stimulating antibodies have a more favorable clinical outcome than traditional treatment modalities on a growing list of tumor types. However, most patients fail to respond or experience only transient responses.</w:t>
      </w:r>
    </w:p>
    <w:p>
      <w:pPr>
        <w:spacing w:after="0" w:line="192"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CBL-B is highly expressed in human CD4+ and CD8+ T cells, with expression tightly regulated by CD28 and CTLA-4 and other co-stimulatory and inhibitory signals. T cells typically require two signals for activation, the first provided by interaction of the T cell receptor (TCR), with a peptide presented by an MHC molecule, and the second through co-stimulatory molecules on antigen-presenting cells. CBL-B plays an essential role in the negative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0" w:name="page21"/>
    <w:bookmarkEnd w:id="20"/>
    <w:p>
      <w:pPr>
        <w:ind w:right="40"/>
        <w:spacing w:after="0" w:line="290" w:lineRule="auto"/>
        <w:rPr>
          <w:sz w:val="20"/>
          <w:szCs w:val="20"/>
          <w:color w:val="auto"/>
        </w:rPr>
      </w:pPr>
      <w:r>
        <w:rPr>
          <w:rFonts w:ascii="Arial" w:cs="Arial" w:eastAsia="Arial" w:hAnsi="Arial"/>
          <w:sz w:val="16"/>
          <w:szCs w:val="16"/>
          <w:color w:val="auto"/>
        </w:rPr>
        <w:t>regulation of T cell activation by regulating the activity of the TCR through substrate proteins that require a costimulatory signal to mount a productive immune response upon TCR engagement. Studies have found that CBL-B deficient T cells display lower thresholds for activation by antigen recognition receptors and co-stimulatory molecules such as CD28. For example, loss of CBL-B in T cells results in T cells that can be activated upon TCR engagement without co-stimulation by CD28, although to a lesser extent than with co-stimulation. Importantly, our CBL-B inhibitors do not appear to activate T cells in the absence of TCR engagement. Such CBL-B deficient T cells are resistant to T cell anergy, a tolerance mechanism in which T cells are functionally inactivated and T cell proliferation is greatly impaired. Notably, CBL-B deficient T cells show increased rates of proliferation as well as elevated cytokine secretion including IL-2. The increased secretion of IL-2 is of particular importance in the optimization and development of our CBL-B inhibitors, serves as a key cellular biomarker for measuring successful T cell activation and is a known therapeutic cytokine in oncology.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development of CBL-B inhibitors</w:t>
      </w:r>
    </w:p>
    <w:p>
      <w:pPr>
        <w:spacing w:after="0" w:line="117"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 xml:space="preserve">We have developed a series of potent small molecule inhibitors of CBL-B activity that have demonstrated biochemical activity and effects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on human immune cells as well as in mouse tumor models. Consistent with studies cited above, CBL-B inhibitors enhanced</w:t>
      </w:r>
      <w:r>
        <w:rPr>
          <w:rFonts w:ascii="Arial" w:cs="Arial" w:eastAsia="Arial" w:hAnsi="Arial"/>
          <w:sz w:val="16"/>
          <w:szCs w:val="16"/>
          <w:i w:val="1"/>
          <w:iCs w:val="1"/>
          <w:color w:val="auto"/>
        </w:rPr>
        <w:t xml:space="preserve"> ex vivo </w:t>
      </w:r>
      <w:r>
        <w:rPr>
          <w:rFonts w:ascii="Arial" w:cs="Arial" w:eastAsia="Arial" w:hAnsi="Arial"/>
          <w:sz w:val="16"/>
          <w:szCs w:val="16"/>
          <w:color w:val="auto"/>
        </w:rPr>
        <w:t>T cell activation</w:t>
      </w:r>
      <w:r>
        <w:rPr>
          <w:rFonts w:ascii="Arial" w:cs="Arial" w:eastAsia="Arial" w:hAnsi="Arial"/>
          <w:sz w:val="16"/>
          <w:szCs w:val="16"/>
          <w:i w:val="1"/>
          <w:iCs w:val="1"/>
          <w:color w:val="auto"/>
        </w:rPr>
        <w:t xml:space="preserve"> </w:t>
      </w:r>
      <w:r>
        <w:rPr>
          <w:rFonts w:ascii="Arial" w:cs="Arial" w:eastAsia="Arial" w:hAnsi="Arial"/>
          <w:sz w:val="16"/>
          <w:szCs w:val="16"/>
          <w:color w:val="auto"/>
        </w:rPr>
        <w:t>as measured by induction of IL-2, a key cytokine required for immune cell activation and proliferation. Induction of IL-2 secretion occurs at low nanomolar concentrations in primary human and mouse T cells stimulated with anti-CD3/anti-CD28 antibodies or anti-CD3 antibodies alone. As illustrated below, we demonstrated several fold increases in IL-2 production in tandem with increasing biochemical activity of our CBL-B inhibitors. In addition, certain of</w:t>
      </w:r>
    </w:p>
    <w:p>
      <w:pPr>
        <w:spacing w:after="0" w:line="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our CBL-B inhibitors reduced anergy and exhaustion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model of T cell exhaustion using human donor T cells and further, this effect was additive to that achieved with an anti-PD-1 antibody. Based on our findings to date, we believe that CBL-B inhibitors may induce an immune cell localized IL-2 secretion that in combination with other immune activation effects will enhance anti-tumor responses. The precursor compounds shown in the graphs below led to the optimization and selection of NX-1607 and NX-0255 as development candidates in our CBL-B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138430</wp:posOffset>
            </wp:positionV>
            <wp:extent cx="5177790" cy="1748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7779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 of CBL-B inhibitors</w:t>
      </w:r>
    </w:p>
    <w:p>
      <w:pPr>
        <w:spacing w:after="0" w:line="117" w:lineRule="exact"/>
        <w:rPr>
          <w:sz w:val="20"/>
          <w:szCs w:val="20"/>
          <w:color w:val="auto"/>
        </w:rPr>
      </w:pPr>
    </w:p>
    <w:p>
      <w:pPr>
        <w:ind w:right="200" w:firstLine="589"/>
        <w:spacing w:after="0" w:line="290" w:lineRule="auto"/>
        <w:rPr>
          <w:sz w:val="20"/>
          <w:szCs w:val="20"/>
          <w:color w:val="auto"/>
        </w:rPr>
      </w:pPr>
      <w:r>
        <w:rPr>
          <w:rFonts w:ascii="Arial" w:cs="Arial" w:eastAsia="Arial" w:hAnsi="Arial"/>
          <w:sz w:val="16"/>
          <w:szCs w:val="16"/>
          <w:color w:val="auto"/>
        </w:rPr>
        <w:t xml:space="preserve">We are focused on three major immunotherapy applications for our CBL-B inhibitors in oncology. In these applications, our overall strategy is to maximize an anti-tumor effect and clinical benefit of our CBL-B inhibitors by enhancing T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In the first application, NX-1607, an oral small molecule immunotherapy drug candidate, is intended to be used as a single agent or in combination with other mechanistically complementary oncology therapies. The second application is the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use of NX-0255 to create drug-enhanced ACT products, initiatives we refer to as DeTIL and DeCART. DeTIL-0255, is a drug-enhanced investigational ACT product that uses NX-0255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to enhance TIL propagation and phenotypic characteristics. We have entered into agreements with contract manufacturing organizations (CMOs) for the development of DeTIL-0255. We have established DeCART, a wholly owned subsidiary, to advance new drug enhanced CAR-T therapies. The third application is the use of orally dosed NX-1607 in combination with potentially any ACT, such as DeTIL-0255, to promote engraftment and anti-tumor activity of the transplanted cells.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NX-1607, an oral CBL-B inhibitor for immuno-oncology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NX-1607 is an investigational, orally bioavailable, potent inhibitor of CBL-B. </w:t>
      </w:r>
      <w:r>
        <w:rPr>
          <w:rFonts w:ascii="Arial" w:cs="Arial" w:eastAsia="Arial" w:hAnsi="Arial"/>
          <w:sz w:val="17"/>
          <w:szCs w:val="17"/>
          <w:i w:val="1"/>
          <w:iCs w:val="1"/>
          <w:color w:val="auto"/>
        </w:rPr>
        <w:t>In vitro</w:t>
      </w:r>
      <w:r>
        <w:rPr>
          <w:rFonts w:ascii="Arial" w:cs="Arial" w:eastAsia="Arial" w:hAnsi="Arial"/>
          <w:sz w:val="17"/>
          <w:szCs w:val="17"/>
          <w:color w:val="auto"/>
        </w:rPr>
        <w:t>, NX-1607 has been demonstrated to increase T cell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activation in primary human T cells in the absence of co-stimulation with CD3 and CD28, a potential advantage in a suppressive tumor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microenvironment. </w:t>
      </w:r>
      <w:r>
        <w:rPr>
          <w:rFonts w:ascii="Arial" w:cs="Arial" w:eastAsia="Arial" w:hAnsi="Arial"/>
          <w:sz w:val="16"/>
          <w:szCs w:val="16"/>
          <w:i w:val="1"/>
          <w:iCs w:val="1"/>
          <w:color w:val="auto"/>
        </w:rPr>
        <w:t>In vivo</w:t>
      </w:r>
      <w:r>
        <w:rPr>
          <w:rFonts w:ascii="Arial" w:cs="Arial" w:eastAsia="Arial" w:hAnsi="Arial"/>
          <w:sz w:val="16"/>
          <w:szCs w:val="16"/>
          <w:color w:val="auto"/>
        </w:rPr>
        <w:t>, oral administration of NX-1607 in mice has demonstrated notable tumor growth inhibition in a tumor model as illustrated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figure below on the left. The tumor growth inhibition with oral administration of NX-1607 recapitulates the genetic experiment in mice with a ligase-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inactive version of CBL-B which also shows tumor growth inhibition as illustrated in the figure below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74295</wp:posOffset>
            </wp:positionV>
            <wp:extent cx="5288915" cy="2143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8891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60" w:firstLine="589"/>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effects of orally administered NX-1607 were further evaluated as a single agent in an animal mouse model of triple-negative breast cancer. In this experiment shown in the figure below, tumors were implanted in a mouse and removed 15 days later. Without further treatment, all mice in the vehicle group (black line) died by day 60 as a result of tumor metastases in the lung, liver, and brain. By contrast, animals treated with NX-1607 (red line) administered as a daily oral dose starting at day 7 and continuing through day 46 demonstrated a highly significant prolongation of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40005</wp:posOffset>
            </wp:positionV>
            <wp:extent cx="5006340" cy="2211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0634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2" w:name="page23"/>
    <w:bookmarkEnd w:id="22"/>
    <w:p>
      <w:pPr>
        <w:ind w:right="120" w:firstLine="589"/>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effects of orally administered NX-1607 were evaluated in combination with an antibody to PD-1 as shown in the figure below. In this model, tumor-bearing mice were treated with NX-1607 (red line), anti-PD-1 (blue line), or the combination (purple line) and compared to animals who received no treatment. Either single agent alone showed only modest inhibition of tumor growth (figure below on the left) and prolongation of survival (figure below on the right). However, the combination of NX-1607 with the anti-PD-1 antibody demonstrated enhanced activity for both tumor growth inhibition and overall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128270</wp:posOffset>
            </wp:positionV>
            <wp:extent cx="4920615" cy="2245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061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NX-1607</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We are conducting a preclinical program to characterize NX-1607 as our lead oral CBL-B inhibitor development candidate and expect to commence a Phase 1 clinical trial in the second half of 2021. Our Phase 1 clinical trial is planned as a single agent, dose-escalation study of NX-1607 in patients with solid tumors who are resistant to standard of care, which may include checkpoint inhibitors. The Phase 1 clinical trial will investigate the safety and tolerability of NX-1607 and identify a maximum tolerated dose for further evaluation. Secondary objectives of the study may include preliminary assessment of the pharmacokinetic and pharmacodynamic profile of NX-1607, as well as preliminary assessment of anti-tumor activity of NX-1607. We are planning to complete the preclinical characterization, DRF studies and IND-enabling activities for NX-1607 in the first half of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CBL-B inhibitors for Adoptive Cell Therapies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Adoptive Cell Therapies</w:t>
      </w:r>
    </w:p>
    <w:p>
      <w:pPr>
        <w:spacing w:after="0" w:line="117"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 xml:space="preserve">ACTs represent another class of immunotherapy in which T cells are isolated directly from patient tumors, as with TIL, or from patient blood with subsequent genetic modification to recognize specific antigens present on cancer cells, as with CAR-T therapies. Tumor-reactive T cells are then expanded and infused back into the patient. Currently, the only FDA-approved ACTs are anti-CD19 CAR-T therapies that are approved for treatment of acute B-cell leukemia and acute B-cell lymphoma. CAR-T therapies have not yet proven to be effective in solid tumors. This is due to a number of factors within the tumor microenvironment unique to solid tumors such as the presence of immune checkpoint molecules and suppressive cytokines, and the heterogeneous nature of tumor cells themselves, preventing the identification of uniformly expressed targets for CAR design. Another ACT is TIL therapy. TIL are an expanded collection of lymphocytes that have penetrated the stroma of a tumor and contain host T cells that have recognized a variety of tumor antigens.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expanded TIL can be infused into the patient as a therapeutic to amplify the patient’s own immune response to the tumor. Although existing ACT have delivered encouraging results in certain hematologic malignancies and some solid tumors, most patients fail to respond due to three main issues: (i) failure to obtain sufficient quantity and/or quality of T cells from the tumor samples or from the blood for a successful production process,</w:t>
      </w:r>
    </w:p>
    <w:p>
      <w:pPr>
        <w:spacing w:after="0" w:line="5" w:lineRule="exact"/>
        <w:rPr>
          <w:sz w:val="20"/>
          <w:szCs w:val="20"/>
          <w:color w:val="auto"/>
        </w:rPr>
      </w:pPr>
    </w:p>
    <w:p>
      <w:pPr>
        <w:ind w:left="5540" w:right="2480" w:hanging="5532"/>
        <w:spacing w:after="0" w:line="511" w:lineRule="auto"/>
        <w:tabs>
          <w:tab w:leader="none" w:pos="2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poor engraftment of T cells upon reinfusion to the patient and (iii) lack of a persistent anti-tumor response or relapse.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CBL-B Inhibitors for Adoptive Cell Therapies</w:t>
      </w:r>
    </w:p>
    <w:p>
      <w:pPr>
        <w:spacing w:after="0" w:line="11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The opportunities to address the above limitations are substantial and our results to date support the concept that CBL-B inhibitors may address some or all of the current limitations of ACT. We are advancing several lines of experimentation to refine our understanding of the clinical and commercial opportunities in this area. We have consolidated these efforts under an initiative we call the Nurix Adoptive Cell Therapy program (NxACT) as illustrated in the figure below. Our NxACT initiative includes a drug-enhanced TIL program known as DeTIL, and a drug-enhanced CAR-T therapy known as DeCART, which is being advanced by our wholly owned subsidiary, DeCART Therapeutics Inc. The broader conceptual framework for NxACT is convergence of targeted protein modulation with ACT. In addition to CBL-B, we expect to explore additional targets for protein modulation that may be useful in the NxACT program. We expect to develop NxACT product opportunities through CMOs.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139065</wp:posOffset>
            </wp:positionV>
            <wp:extent cx="5271770" cy="2434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7177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 xml:space="preserve">Based on our preclinical findings to date, we believe CBL-B inhibition using NX-0255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during the isolation and expansion of TIL can address some of the issues that have limited the success of existing ACT. We believe the use of NX-0255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can address these limitations by producing not only more T cells, but also T cells with favorable characteristics including greater numbers of CD8+ T cells with an enhanced central memory phenotype, a profile that has been associated with better clinical outcomes. In our preclinical ACT research program, we expanded TIL from human tumor samples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and measured the effects of drug enhancement by NX-0255 on TIL production. The central memory T cell population was increased in human TIL expanded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in the presence of NX-0255, as compared to the effector memory T cell population in TIL that had been isolated and propagated from tumor fragments in the presence of recombinant IL-2.</w:t>
      </w:r>
    </w:p>
    <w:p>
      <w:pPr>
        <w:spacing w:after="0" w:line="17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 xml:space="preserve">The DeTIL-0255 investigational product under development is an autologous cell therapy consisting of T cells derived from a patient’s tumor expanded in culture with NX-0255. Although NX-0255 has limited oral bioavailability, we have demonstrated inhibition of CBL-B both biochemically and in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 cell culture, making it well suited for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creation of new ACT products. DeTIL-0255 is designed to be a single administration autologous TIL therapy infused following non-myeloablative chemotherapy. We believe DeTIL-0255 could allow a broader application of TIL therapy, potentially providing long term benefit to patients with multiple types of cancer.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development of DeTIL-0255</w:t>
      </w:r>
    </w:p>
    <w:p>
      <w:pPr>
        <w:spacing w:after="0" w:line="117" w:lineRule="exact"/>
        <w:rPr>
          <w:sz w:val="20"/>
          <w:szCs w:val="20"/>
          <w:color w:val="auto"/>
        </w:rPr>
      </w:pPr>
    </w:p>
    <w:p>
      <w:pPr>
        <w:ind w:right="300" w:firstLine="589"/>
        <w:spacing w:after="0" w:line="279" w:lineRule="auto"/>
        <w:rPr>
          <w:sz w:val="20"/>
          <w:szCs w:val="20"/>
          <w:color w:val="auto"/>
        </w:rPr>
      </w:pPr>
      <w:r>
        <w:rPr>
          <w:rFonts w:ascii="Arial" w:cs="Arial" w:eastAsia="Arial" w:hAnsi="Arial"/>
          <w:sz w:val="17"/>
          <w:szCs w:val="17"/>
          <w:color w:val="auto"/>
        </w:rPr>
        <w:t xml:space="preserve">We have tested NX-0255 in a mouse model of ACT shown below to determine if culture of tumor specific T cells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in the presence of a potent CBL-B inhibitor can confer a superior anti-tumor effect as compared to standard culture conditions using IL-2 alone. We have demonstrated that even a short, 3-day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exposure of T cells to NX-0255, either alone or in combination with IL-2, conferred a lasting anti-tumor phenotype upon transfer of the cells into a tumor-bearing animal as compared to controls. We have also demonstrated that those cells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4" w:name="page25"/>
    <w:bookmarkEnd w:id="24"/>
    <w:p>
      <w:pPr>
        <w:ind w:right="100"/>
        <w:spacing w:after="0" w:line="277" w:lineRule="auto"/>
        <w:rPr>
          <w:sz w:val="20"/>
          <w:szCs w:val="20"/>
          <w:color w:val="auto"/>
        </w:rPr>
      </w:pPr>
      <w:r>
        <w:rPr>
          <w:rFonts w:ascii="Arial" w:cs="Arial" w:eastAsia="Arial" w:hAnsi="Arial"/>
          <w:sz w:val="18"/>
          <w:szCs w:val="18"/>
          <w:color w:val="auto"/>
        </w:rPr>
        <w:t>cultured under standard conditions with IL-2 alone resulted in superior conditional survival of the mice relative to controls, but not as good as either group treated with NX-0255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340360</wp:posOffset>
            </wp:positionV>
            <wp:extent cx="5349240" cy="2331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plans for DeTIL-0255</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are planning to complete the preclinical characterization and IND-enabling activities for DeTIL-0255 and expect to commence a Phase I clinical trial in the second half of 2021. We are currently working with CMOs with experience in TIL product development for the development of the DeTIL-0255 process and manufacturing. We expect the Phase 1 clinical trial will be conducted at multiple sites in the United States that have experience in conducting TIL and other ACT trials. We expect to include patients with a spectrum of advanced solid tumors who have failed standard of care. The primary objective of the study will be to evaluate safety and tolerability of DeTIL-0255 autologous cell therapy. Secondary objectives may include an exploratory evaluation of efficacy. Other exploratory objectives may include characterization of DeTIL-0255 phenotypes utilizing a variety of T cell markers, identification of potential mechanisms of response or resistance to DeTIL-0255 including repertoire analysis and persistence of the autologous cell therapy in the patient. The specific study design and protocol are currently under development and will include plans regarding selection of the patient population, eligibility criteria and safety monitoring.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CBL-B inhibitors combined with ex vivo CBL-B inhibition in a mouse model of ACT</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 xml:space="preserve">We have further explored ACT by including an oral dosing regimen of NX-1607 in combination with NX-0255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treated T cells. Preliminary results shown below illustrate that the combination with NX-1607 yields more substantial anti-tumor effect and subsequent conditional survival than with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NX-0255 ACT alone.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220"/>
        <w:spacing w:after="0" w:line="277" w:lineRule="auto"/>
        <w:rPr>
          <w:sz w:val="20"/>
          <w:szCs w:val="20"/>
          <w:color w:val="auto"/>
        </w:rPr>
      </w:pPr>
      <w:r>
        <w:rPr>
          <w:rFonts w:ascii="Arial" w:cs="Arial" w:eastAsia="Arial" w:hAnsi="Arial"/>
          <w:sz w:val="18"/>
          <w:szCs w:val="18"/>
          <w:color w:val="auto"/>
        </w:rPr>
        <w:t xml:space="preserve">Pending trial results using each therapy alone, we also intend to evaluate the combination of oral NX-1607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NX-0255 ACT in a future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63515" cy="2057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6351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of DeCART Therapeutics Inc.</w:t>
      </w:r>
    </w:p>
    <w:p>
      <w:pPr>
        <w:spacing w:after="0" w:line="117"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have established DeCART Therapeutics Inc. (DeCART) a wholly owned subsidiary incorporated in Delaware, with an investment of $3.0 million and granted DeCART a license to three of our compounds, including NX-0255, for drug-enhanced isolation of T cells nonexclusively with respect to one CAR-T therapy target and exclusively with respect to three novel CAR-T therapy targets. The founding team of DeCART includes Carl H. June, M.D., Joseph A. Fraietta, Ph.D., Xian Hua, M.D., Ph.D., and Dana M. Hammill, M.S., M.B.A. Dr. June, the Richard W. Vague Professor in Immunotherapy and Director of the Center for Cellular Immunotherapies in the Abramson Cancer Center of the University of Pennsylvania, will lead the founding team and will serve as the chairman of DeCART’s scientific advisory board. DeCART expects to combine our protein modulation technologies with novel CAR-T therapies to address current immunotherapy limitations and improve outcomes for patients with cancer. Dana Hammill serves as DeCART’s Chief Operating Officer. Over time, we intend for DeCART to seek equity financing from third parties and to become an independent operating entity. DeCART has granted to its founders stock options to purchase shares of DeCART’s common stock equal to 14% of the fully diluted capitalization of DeCART. Following either the third-party funding or the exercise of the contemplated stock option grants, DeCART will no longer be a wholly owned subsidiary.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Collaboration and License Agreement</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 December 2019, we entered into a global strategic collaboration with Genzyme Corporation, a subsidiary of Sanofi, which became effective in January 2020, and was subsequently expanded and amended in January 2021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Sanofi exercised its option to expand the number of targets in the collaboration agreement from three to a total of five targets. Over time and subject to certain limitations, Sanofi may elect to replace the drug targets with other reserved targets.</w:t>
      </w:r>
    </w:p>
    <w:p>
      <w:pPr>
        <w:spacing w:after="0" w:line="192"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Under the Sanofi Agreement, Sanofi has exclusive rights and is responsible for the clinical development, commercialization and manufacture of product candidates resulting from the collaboration while we retain the option to co-develop, co-promote and co-commercialize up to two targets, one of which must be selected from a list of targets designated at the execution of the Sanofi Agreement and one of which must be selected from targets identified by Sanofi as part of their recent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40" w:firstLine="589"/>
        <w:spacing w:after="0" w:line="291" w:lineRule="auto"/>
        <w:rPr>
          <w:sz w:val="20"/>
          <w:szCs w:val="20"/>
          <w:color w:val="auto"/>
        </w:rPr>
      </w:pPr>
      <w:r>
        <w:rPr>
          <w:rFonts w:ascii="Arial" w:cs="Arial" w:eastAsia="Arial" w:hAnsi="Arial"/>
          <w:sz w:val="16"/>
          <w:szCs w:val="16"/>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CTMs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166" w:lineRule="exact"/>
        <w:rPr>
          <w:sz w:val="20"/>
          <w:szCs w:val="20"/>
          <w:color w:val="auto"/>
        </w:rPr>
      </w:pPr>
    </w:p>
    <w:p>
      <w:pPr>
        <w:ind w:right="240" w:firstLine="589"/>
        <w:spacing w:after="0" w:line="290" w:lineRule="auto"/>
        <w:rPr>
          <w:sz w:val="20"/>
          <w:szCs w:val="20"/>
          <w:color w:val="auto"/>
        </w:rPr>
      </w:pPr>
      <w:r>
        <w:rPr>
          <w:rFonts w:ascii="Arial" w:cs="Arial" w:eastAsia="Arial" w:hAnsi="Arial"/>
          <w:sz w:val="16"/>
          <w:szCs w:val="16"/>
          <w:color w:val="auto"/>
        </w:rPr>
        <w:t>Upon signing the Sanofi Agreement, Sanofi paid us an upfront payment of $55.0 million in January 2020. Subsequently in January 2021, Sanofi paid us an additional $22.0 million to exercise its option to expand the number of targets beyond the initial targets included in the collaboration. As of November 30, 2020, we are eligible to receive up to approximately $2.5 billion in total payments, including payments of up to $500.0 million upon the achievement of specified development milestones, up to $625.0 million upon the achievement of specified regulatory milestones and up to $1.3 billion upon the achievement of certain sales milestones, as well as up to $163.1 million in certain additional fees related to target licensing and reservation. In addition, we are eligible to receive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165"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the expiration of (i)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Sanofi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Gilead Collaboration, Option and License Agreement</w:t>
      </w:r>
    </w:p>
    <w:p>
      <w:pPr>
        <w:spacing w:after="0" w:line="117"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In June 2019, we entered into a global strategic collaboration agreement with Gilead, which was amended in August 2019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w:t>
      </w:r>
    </w:p>
    <w:p>
      <w:pPr>
        <w:spacing w:after="0" w:line="165"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Under the Gilead Agreement, Gilead has the option to license drug candidates directed to up to five targets resulting from the collaboration and is responsible for the clinical development and commercialization of product candidates resulting from the collaboration. We retain the option to co-develop and co-promote, under a profit share structure, up to two product candidates in the United States, provided that we may only exercise such option once per licensed product and Gilead retains the right to veto our option selection for any one product candidate of its choice.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178" w:lineRule="exact"/>
        <w:rPr>
          <w:sz w:val="20"/>
          <w:szCs w:val="20"/>
          <w:color w:val="auto"/>
        </w:rPr>
      </w:pPr>
    </w:p>
    <w:p>
      <w:pPr>
        <w:ind w:right="160" w:firstLine="589"/>
        <w:spacing w:after="0" w:line="291" w:lineRule="auto"/>
        <w:rPr>
          <w:sz w:val="20"/>
          <w:szCs w:val="20"/>
          <w:color w:val="auto"/>
        </w:rPr>
      </w:pPr>
      <w:r>
        <w:rPr>
          <w:rFonts w:ascii="Arial" w:cs="Arial" w:eastAsia="Arial" w:hAnsi="Arial"/>
          <w:sz w:val="16"/>
          <w:szCs w:val="16"/>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right="80" w:firstLine="589"/>
        <w:spacing w:after="0" w:line="272" w:lineRule="auto"/>
        <w:rPr>
          <w:sz w:val="20"/>
          <w:szCs w:val="20"/>
          <w:color w:val="auto"/>
        </w:rPr>
      </w:pPr>
      <w:r>
        <w:rPr>
          <w:rFonts w:ascii="Arial" w:cs="Arial" w:eastAsia="Arial" w:hAnsi="Arial"/>
          <w:sz w:val="17"/>
          <w:szCs w:val="17"/>
          <w:color w:val="auto"/>
        </w:rPr>
        <w:t>Upon signing the Gilead Agreement, Gilead paid us an upfront payment of $45.0 million, plus $3.0 million in additional fees. As of November 30, 2020, we are eligible to receive up to approximately $2.3 billion in total additional payments, including up to $697.5 million upon the achievement of specified development milestones, up to $1.5 billion upon the achievement of specified sales milestones, subject to reduction for any product for which we exercise our option to co-develop and co-promote, and up to $139.8 million in certain additional fees related to target licensing, reservation and selection and research term extensions.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17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Subject to earlier expiration in certain circumstances, the Gilead Agreement expires on a licensed product-by-licensed product and country-by-country basis upon on the later of (i) the expiration of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 If Gilead does not exercise an option to license a drug candidate, then the Gilead Agreement will terminate at the end of the last-to-expire option period.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We do not own or operate, and currently have no plans to establish, any facilities for product manufacturing, packaging, storage and distribution, or testing. We rely on and expect to continue to rely on CMOs for both drug substance and finished drug product, and ACT product. We have personnel or engaged consultants with extensive technical, manufacturing, analytical and quality experience and good project management to oversee contract manufacturing and testing activities. We have engaged third-party manufacturers to supply the drug substance for NX-2127 and to develop and manufacture finished drug product for NX-2127 that we plan to use in our Phase 1 clinical trial. We have also engaged a third-party manufacturer to supply the drug substance for NX-1607. We currently obtain our supplies from these manufacturers on a purchase order basis and do not have long-term supply arrangements in place. Because TIL and CAR-T therapies are manufactured on a patient-by-patient basis, they involve complex manufacturing and we anticipate that we will have to rely on third-party manufacturers to manufacture our ACT products for pre-clinical studies and clinical trials. Should any of these manufacturers become unavailable to us for any reason, we believe that there are a number of potential replacements, although we may incur some delay in identifying and qualifying such replacements.</w:t>
      </w:r>
    </w:p>
    <w:p>
      <w:pPr>
        <w:spacing w:after="0" w:line="185"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All of our drug candidates are organic compounds of low molecular weight, generally called small molecules, but which are larger than traditional small molecule therapeutics. We have selected these compounds not only on the basis that they could have potentially favorable efficacy and safety profiles, but also for their ease of synthesis and reasonable cost of their starting materials. In particular, our lead product candidates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cost-effectively at contract manufacturing facilities.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20" w:firstLine="589"/>
        <w:spacing w:after="0" w:line="290" w:lineRule="auto"/>
        <w:rPr>
          <w:sz w:val="20"/>
          <w:szCs w:val="20"/>
          <w:color w:val="auto"/>
        </w:rPr>
      </w:pPr>
      <w:r>
        <w:rPr>
          <w:rFonts w:ascii="Arial" w:cs="Arial" w:eastAsia="Arial" w:hAnsi="Arial"/>
          <w:sz w:val="16"/>
          <w:szCs w:val="16"/>
          <w:color w:val="auto"/>
        </w:rPr>
        <w:t>The biotechnology and biopharmaceutical industries are characterized by rapidly advancing technologies, intense competition and a strong emphasis on intellectual property and proprietary products. While we believe that our technology, development experience, scientific knowledge and intellectual property portfolio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modulation, but any product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100" w:firstLine="589"/>
        <w:spacing w:after="0" w:line="272" w:lineRule="auto"/>
        <w:rPr>
          <w:sz w:val="20"/>
          <w:szCs w:val="20"/>
          <w:color w:val="auto"/>
        </w:rPr>
      </w:pPr>
      <w:r>
        <w:rPr>
          <w:rFonts w:ascii="Arial" w:cs="Arial" w:eastAsia="Arial" w:hAnsi="Arial"/>
          <w:sz w:val="17"/>
          <w:szCs w:val="17"/>
          <w:color w:val="auto"/>
        </w:rPr>
        <w:t>Our platform and product focus is the discovery and development of protein modulation therapies using our chimeric small molecules and ligase inhibitors. Other companies researching chimeric small molecules for protein degradation include Arvinas, Inc., C4 Therapeutics, Inc., Cullgen Inc. and Kymera Therapeutics, Inc., all of which are currently in preclinical development with the exception of Arvinas which has initiated clinical trials. Further, several large pharmaceutical companies have disclosed preclinical investments in this field, including Amgen Inc., AstraZeneca plc, Bristol-Myers Squibb Company, Genentech, Inc., GlaxoSmithKline plc and Novartis International AG. Moreover, we also compete with current and future therapeutics developed at universities and other research institutions. In addition to competition from other protein modulation therapies, any products that we develop may also face competition from other types of therapies, such as small molecule, antibody, vaccine or gene therapies.</w:t>
      </w:r>
    </w:p>
    <w:p>
      <w:pPr>
        <w:spacing w:after="0" w:line="17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Our lead product candidates target hematologic cancers and immune-mediated diseases including immuno-oncology and cell-based therapeutics for cancer. The most common methods of treating patients in oncologic indications are surgery, radiation and drug therapy, including chemotherapy, hormone therapy and targeted drug therapy. A new class of therapies for treatment of oncology patients are ACTs including CAR-T cell therapies and TIL cell therapies. There are a variety of available drug therapies marketed for cancer, including hematologic cancers. In many cases, these drugs are administered in combination to enhance efficacy. Some of the currently approved drug therapies are branded and subject to patent protection, and others are available on a generic basis. Many of these approved drugs are well established therapies and are widely accepted by physicians, patients and third-party payors. In general, although there has been considerable progress over the past few decades in the treatment of cancer and the currently marketed therapies provide benefits to many patients, these therapies all are limited to some extent in their efficacy and frequency of adverse events, and none of them are successful in treating all patients. As a result, the level of morbidity and mortality from cancer remains high.</w:t>
      </w:r>
    </w:p>
    <w:p>
      <w:pPr>
        <w:spacing w:after="0" w:line="166"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In addition to currently marketed drugs, there are also several product candidates in late stage clinical development for the treatment of oncologic indications and immune-mediated diseases. These products in development may provide efficacy, safety, convenience and other benefits that are not provided by currently marketed therapies. As a result, they may provide significant competition for any of our product candidates for which we obtain market approval.</w:t>
      </w:r>
    </w:p>
    <w:p>
      <w:pPr>
        <w:spacing w:after="0" w:line="18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If any of our product candidates are approved for the indications for which we expect to conduct clinical trials, they will compete with the foregoing therapies and the currently marketed drugs and potentially any drugs in development. It is also possible that we will face competition from other biologic or pharmaceutical approaches as well as from other types of therapies.</w:t>
      </w:r>
    </w:p>
    <w:p>
      <w:pPr>
        <w:spacing w:after="0" w:line="184"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Many of our current or potential competitors, either alone or with strategic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174"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key competitive factors affecting the success of all our programs, if approved, are likely to be their efficacy, safety, convenience, price, level of generic competition and availability of reimbursement.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We strive to protect and enhance the proprietary technology, inventions, platforms, product candidates and improvements thereof that are commercially important to our business, including obtaining, maintaining and defending patent rights, whether developed internally or licensed from third parties. Our policy is to seek to protect our proprietary position by, among, other methods, pursuing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including pending priority applications and Patent Cooperation Treaty (PCT) applications, is intended to cover, but is not limited to, our technology platforms, product candidates and components thereof and their methods of use, and any other inventions that are commercially important to our business. However, the portfolio covering our product candidates is at an early stage and is currently comprised of only applications and we do not currently own or license any issued patents.</w:t>
      </w:r>
    </w:p>
    <w:p>
      <w:pPr>
        <w:spacing w:after="0" w:line="17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also rely on trade secret protection of our confidential information and know-how relating to our proprietary technology, platforms and product candidates and continuing innovation to develop, strengthen, and maintain our position in our DELigase platform and product candidates. Trade secrets are difficult to protect and provide us with only limited protection.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 applications; to defend against challenges and assertions by third parties of their purported intellectual property rights; and to operate without infringement of valid and enforceable patents and other proprietary rights of third parties. For risks related to our intellectual property, please see “Risk Factors—Risks Related to Our Intellectual Property.”</w:t>
      </w:r>
    </w:p>
    <w:p>
      <w:pPr>
        <w:spacing w:after="0" w:line="192"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We believe that we have a strong global intellectual property position and substantial know how and trade secrets relating to our DELigase platform and product candidates. As of February 1, 2021, we have nine U.S. utility patent applications, seven PCT applications and two foreign applications that we own, and two provisional applications that we co-own with Gilead. NX-2127 and NX-5948 are covered by one U.S. utility application and one PCT application claiming the compound, formulation, synthetic methods, and uses thereof. Should patents issue claiming NX-2127 or NX-5948, these patents are expected to expire between 2039-2040. NX-1607 is covered by three U.S. utility applications and three PCT applications claiming the compound, formulation, synthetic methods and uses thereof. Should patents issue claiming NX-1607, these patents are expected to expire between 2040-2041. DeTIL-0255 is covered by three U.S. utility applications, two PCT applications and two foreign applications. Should patents issue claiming DeTIL-0255, these patents are expected to expire in 2040.</w:t>
      </w:r>
    </w:p>
    <w:p>
      <w:pPr>
        <w:spacing w:after="0" w:line="19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 term of individual patents depends upon the laws of the countries in which they are obtained. In most countries in which we file, including the United States, the patent term is 20 years from the earliest date of filing of a non-provisional patent application in the applicable country. However, the patent term of United States patents may, in certain cases, be adjusted for administrative delays by the United States Patent and Trademark Office (the USPTO) in examining and granting a patent or may be shortened if a patent is terminally disclaimed over an earlier filed patent. In addition, the term of a patent may be extended as compensation for the patent term lost during the FDA regulatory review process. For example, for drugs that are regulated by the FDA under the Hatch-Waxman Act, it is permitted to extend the term of a patent that covers such drug for up to five years beyond the normal expiration date of the patent. For more information on patent term extensions, see “Business—Government Regulation: The Hatch-Waxman Act—Patent term extension.” In the future, if and when our pharmaceutical product candidates receive FDA approval, we expect to apply for patent term extensions on patents, if issued, covering those product candidates. We intend to seek patent term extensions to any of our patents, if issued, in any jurisdiction where these are available; however, there is no guarantee that the applicable authorities, including the USPTO and FDA, will agree with our assessment of whether such extensions should be granted, and even if granted, the length of such extensions.</w:t>
      </w:r>
    </w:p>
    <w:p>
      <w:pPr>
        <w:spacing w:after="0" w:line="172" w:lineRule="exact"/>
        <w:rPr>
          <w:sz w:val="20"/>
          <w:szCs w:val="20"/>
          <w:color w:val="auto"/>
        </w:rPr>
      </w:pPr>
    </w:p>
    <w:p>
      <w:pPr>
        <w:ind w:right="400" w:firstLine="589"/>
        <w:spacing w:after="0" w:line="263" w:lineRule="auto"/>
        <w:rPr>
          <w:sz w:val="20"/>
          <w:szCs w:val="20"/>
          <w:color w:val="auto"/>
        </w:rPr>
      </w:pPr>
      <w:r>
        <w:rPr>
          <w:rFonts w:ascii="Arial" w:cs="Arial" w:eastAsia="Arial" w:hAnsi="Arial"/>
          <w:sz w:val="18"/>
          <w:szCs w:val="18"/>
          <w:color w:val="auto"/>
        </w:rPr>
        <w:t>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firstLine="432"/>
        <w:spacing w:after="0" w:line="286" w:lineRule="auto"/>
        <w:rPr>
          <w:sz w:val="20"/>
          <w:szCs w:val="20"/>
          <w:color w:val="auto"/>
        </w:rPr>
      </w:pPr>
      <w:r>
        <w:rPr>
          <w:rFonts w:ascii="Arial" w:cs="Arial" w:eastAsia="Arial" w:hAnsi="Arial"/>
          <w:sz w:val="16"/>
          <w:szCs w:val="16"/>
          <w:color w:val="auto"/>
        </w:rPr>
        <w:t>We also rely on trade secret protection for our know-how, confidential and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confidential and proprietary information as trade secrets, including through contractual means with our employees, consultants, outside scientific collaborators, sponsored researchers and other advisors, competitors or other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Despite these efforts, we cannot provide any assurances that all such agreements have been duly executed, and any of these parties may breach the agreements and disclose our proprietary information, and we may not be able to obtain adequate remedies for such breaches.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sections titled “Risk Factors— Risks Related to Our Intellectual Property” and “Risk Factors—Risks Related to Regulatory Approval and Marketing of Our Product Candidates.”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In the United States, pharmaceutical products are subject to extensive regulation by the FDA. The processes for obtaining approval in the United States, along with subsequent compliance with applicable statutes and regulations and other regulatory authorities, require the expenditure of substantial time and financial resources. The Federal Food, Drug, and Cosmetic Act (the FDCA) and other federal and state statutes and regulations govern, among other things, the research, development, testing, manufacture, quality control, packaging, storage, recordkeeping, approval, labeling, promotion, advertising and marketing, distribution, post-approval monitoring and reporting, sampling and import and export of pharmaceutical products. Failure to comply with applicable U.S. requirements may subject a company to a variety of administrative or judicial sanctions, such as FDA refusal to approve pending new drug applications (NDAs) withdrawal of an approval, imposition of a clinical hold, warning or untitled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(DOJ) or other governmental entities.</w:t>
      </w:r>
    </w:p>
    <w:p>
      <w:pPr>
        <w:spacing w:after="0" w:line="166"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United States typically involves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 xml:space="preserve">Preclinical tests include laboratory evaluation of product chemistry, formulation and toxicity,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trials to assess the characteristics and potential safety and efficacy of the product for initial testing in humans and to establish a rationale for therapeutic use.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ind w:right="40" w:firstLine="589"/>
        <w:spacing w:after="0" w:line="272" w:lineRule="auto"/>
        <w:rPr>
          <w:sz w:val="20"/>
          <w:szCs w:val="20"/>
          <w:color w:val="auto"/>
        </w:rPr>
      </w:pPr>
      <w:r>
        <w:rPr>
          <w:rFonts w:ascii="Arial" w:cs="Arial" w:eastAsia="Arial" w:hAnsi="Arial"/>
          <w:sz w:val="17"/>
          <w:szCs w:val="17"/>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a sponsor must submit a protocol for each clinical trial and any subsequent protocol amendments must be submitted to the FDA as part of the IND. The sponsor may be a company seeking to develop the drug or, as in the case of an investigator-initiated trial, the sponsor may be an investigator who is conducting the trial. In addition, the results of the preclinical tests, together with manufacturing information, analytical data, any available clinical data or literature and plans for clinical trials, among other things, are submitted to the FDA as part of an IND.</w:t>
      </w:r>
    </w:p>
    <w:p>
      <w:pPr>
        <w:spacing w:after="0" w:line="17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A 30-day waiting period after the submission of each IND is required prior to the commencement of clinical testing in humans.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In this case, the IND sponsor and the FDA must resolve any outstanding concerns before clinical trials can begin. If the FDA has neither commented on nor questioned the IND within this 30-day period, the clinical trial proposed in the IND may begin.</w:t>
      </w:r>
    </w:p>
    <w:p>
      <w:pPr>
        <w:spacing w:after="0" w:line="176"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76"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The FDA may order the temporary, or permanent, discontinuation of a clinical trial at any time, as a clinical hold or partial clinical hold, or impose other sanctions, if it believes that the clinical trial either is not being conducted in accordance with FDA requirements or presents an unacceptable risk to the clinical trial patients.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sponsor may choose, but is not required, to conduct a foreign clinical study under an IND. When a foreign clinical study is conducted under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 all IND requirements must be met unless waived. When the foreign clinical study is not conducted under an IND, the sponsor must ensure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study complies with certain FDA regulatory requirements in order to use the study as support for an IND or application for marketing approval.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Specifically, the FDA has promulgated regulations governing the acceptance of foreign clinical trials not conducted under an IND, establishing that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studies will be accepted as support for an IND or application for marketing approval if the study was conducted in accordance with GCP, including review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approval by an independent ethics committee and use of proper procedures for obtaining informed consent from subjects, and the FDA is able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validate the data from the study through an onsite inspection if the FDA deems such inspection necessary. The GCP requirements encompass both ethical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data integrity standards for clinical studies. The FDA’s regulations are intended to help ensure the protection of human subjects enrolled in non-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 foreign clinical trials, as well as the quality and integrity of the resulting data. They further help ensure that non-IND foreign studies are conducted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manner comparable to that required for IND studies. If a marketing application is based solely on foreign clinical data, the FDA requires that the foreign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data be applicable to the U.S. population and U.S. medical practice; the studies must have been performed by clinical investigators of recognized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competence; and the FDA must be able to validate the data through an onsite inspection or other appropriate means, if the FDA deems such an inspection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necessary.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2" w:name="page33"/>
    <w:bookmarkEnd w:id="32"/>
    <w:p>
      <w:pPr>
        <w:ind w:right="120" w:firstLine="589"/>
        <w:spacing w:after="0" w:line="255" w:lineRule="auto"/>
        <w:rPr>
          <w:sz w:val="20"/>
          <w:szCs w:val="20"/>
          <w:color w:val="auto"/>
        </w:rPr>
      </w:pPr>
      <w:r>
        <w:rPr>
          <w:rFonts w:ascii="Arial" w:cs="Arial" w:eastAsia="Arial" w:hAnsi="Arial"/>
          <w:sz w:val="18"/>
          <w:szCs w:val="18"/>
          <w:color w:val="auto"/>
        </w:rPr>
        <w:t>The study protocol and informed consent information for patients in clinical trials must also be submitted to an institutional review board (IRB) representing each institution participating in the clinical trial. The IRB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may also require the clinical trial at the site to be halted, either temporarily or permanently, for failure to comply with the IRB’s requirements, or may impose other conditions.</w:t>
      </w:r>
    </w:p>
    <w:p>
      <w:pPr>
        <w:spacing w:after="0" w:line="192"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88" w:lineRule="exact"/>
        <w:rPr>
          <w:sz w:val="20"/>
          <w:szCs w:val="20"/>
          <w:color w:val="auto"/>
        </w:rPr>
      </w:pPr>
    </w:p>
    <w:p>
      <w:pPr>
        <w:ind w:right="160" w:firstLine="589"/>
        <w:spacing w:after="0" w:line="286" w:lineRule="auto"/>
        <w:rPr>
          <w:sz w:val="20"/>
          <w:szCs w:val="20"/>
          <w:color w:val="auto"/>
        </w:rPr>
      </w:pPr>
      <w:r>
        <w:rPr>
          <w:rFonts w:ascii="Arial" w:cs="Arial" w:eastAsia="Arial" w:hAnsi="Arial"/>
          <w:sz w:val="17"/>
          <w:szCs w:val="17"/>
          <w:color w:val="auto"/>
        </w:rPr>
        <w:t>Information about certain clinical trials must be submitted within specific timeframes to the National Institutes of Health (NIH) for public dissemination on its ClinicalTrials.gov website. Sponsors are also obligated to discuss the results of their clinical trials after completion. Disclosure of the results of these trials can be delayed in certain circumstances for up to two years after the date of completion of the trial.</w:t>
      </w:r>
    </w:p>
    <w:p>
      <w:pPr>
        <w:spacing w:after="0" w:line="165"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In Phase 1, the initial introduction of the drug into healthy human subjects or in certain indications such as cancer, patients with the target disease or condition,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trials are conducted. In a Phase 3 trial,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 benefit profile of the product, and to provide adequate information for the labeling of the product.</w:t>
      </w:r>
    </w:p>
    <w:p>
      <w:pPr>
        <w:spacing w:after="0" w:line="196"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 most cases the FDA requires two adequate and well-controlled Phase 3 clinical trials to demonstrate the efficacy of the drug. A single Phase 3 trial with other confirmatory evidence may be sufficient in rare instances, such as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Post-approval studies, or Phase 4 trials, are often required following initial approval and are intended to gain additional experience and data from treatment of patients in the intended therapeutic indication.</w:t>
      </w:r>
    </w:p>
    <w:p>
      <w:pPr>
        <w:spacing w:after="0" w:line="192" w:lineRule="exact"/>
        <w:rPr>
          <w:sz w:val="20"/>
          <w:szCs w:val="20"/>
          <w:color w:val="auto"/>
        </w:rPr>
      </w:pPr>
    </w:p>
    <w:p>
      <w:pPr>
        <w:ind w:right="120" w:firstLine="589"/>
        <w:spacing w:after="0" w:line="270" w:lineRule="auto"/>
        <w:rPr>
          <w:sz w:val="20"/>
          <w:szCs w:val="20"/>
          <w:color w:val="auto"/>
        </w:rPr>
      </w:pPr>
      <w:r>
        <w:rPr>
          <w:rFonts w:ascii="Arial" w:cs="Arial" w:eastAsia="Arial" w:hAnsi="Arial"/>
          <w:sz w:val="17"/>
          <w:szCs w:val="17"/>
          <w:color w:val="auto"/>
        </w:rPr>
        <w:t xml:space="preserve">Progress reports detailing the results of the clinical trials must be submitted at least annually to the FDA and more frequently if serious adverse effects occur. In addition, IND safety reports must be submitted to the FDA for any of the following: serious and unexpected suspected adverse reactions;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18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current good manufacturing practices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jc w:val="both"/>
        <w:spacing w:after="0" w:line="311" w:lineRule="auto"/>
        <w:rPr>
          <w:sz w:val="20"/>
          <w:szCs w:val="20"/>
          <w:color w:val="auto"/>
        </w:rPr>
      </w:pPr>
      <w:r>
        <w:rPr>
          <w:rFonts w:ascii="Arial" w:cs="Arial" w:eastAsia="Arial" w:hAnsi="Arial"/>
          <w:sz w:val="16"/>
          <w:szCs w:val="16"/>
          <w:color w:val="auto"/>
        </w:rPr>
        <w:t>(cGMP)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149"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The cost of preparing and submitting an NDA is substantial. The submission of most NDAs is additionally subject to a substantial application user fee, currently exceeding $2,942,965 for fiscal year 2020, and the manufacturer and sponsor under an approved NDA are also subject to annual program fees, currently $325,424 for each prescription product. These fees are typically increased annually. Sponsors of applications for drugs granted Orphan Drug Designation are exempt from these user fees.</w:t>
      </w:r>
    </w:p>
    <w:p>
      <w:pPr>
        <w:spacing w:after="0" w:line="164"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review. The FDA has agreed to certain performance goals in the review of NDAs to encourage timeliness. Applications for standard review drug products are meant to be reviewed within ten months; applications for priority review drugs are meant to be reviewed in six.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96"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The FDA is required to refer an application for a novel drug to an advisory committee or explain why such referral was not made. An advisory committee is typically a panel that includes clinicians and other experts—for review, evaluation and a recommendation as to whether the application should be approved. The FDA is not bound by the recommendation of an advisory committee, but it generally follows such recommendations.</w:t>
      </w:r>
    </w:p>
    <w:p>
      <w:pPr>
        <w:spacing w:after="0" w:line="165"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Before approving an NDA, the FDA will typically inspect one or more clinical sites to assure compliance with GCP. Additionally, the FDA will inspect the facility or the facilities at which the drug is manufactured. The FDA will not approve the product unless compliance with cGMPs is satisfactory and the NDA contains data that provide substantial evidence that the drug is safe and effective in the indication studied.</w:t>
      </w:r>
    </w:p>
    <w:p>
      <w:pPr>
        <w:spacing w:after="0" w:line="165"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After the FDA evaluates the NDA and accompanying information and the manufacturing facilities, it issues either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95"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As a condition of NDA approval, the FDA may require a risk evaluation and mitigation strategy (REMS) to help ensure that the benefits of the drug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firstLine="589"/>
        <w:spacing w:after="0" w:line="253"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approval pathways</w:t>
      </w:r>
    </w:p>
    <w:p>
      <w:pPr>
        <w:spacing w:after="0" w:line="117"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 threatening disease or condition. These programs are referred to as Fast Track designation, Breakthrough Therapy designation and Priority Review designation. In addition, accelerated approval offers the potential for approval based on a surrogate or intermediate clinical endpoint. In May 2014, the FDA published a final Guidance for Industry titled “Expedited Programs for Serious Conditions Drugs and Biologics,” which provides guidance on the FDA programs that are intended to facilitate and expedite development and review of new product candidates as well as threshold criteria generally applicable to concluding that a product candidate is a candidate for these expedited development and review programs.</w:t>
      </w:r>
    </w:p>
    <w:p>
      <w:pPr>
        <w:spacing w:after="0" w:line="164"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FDA may designate a product for Fast Track review if it is intended, whether alone or in combination with one or more other products, for the treatment of a serious or life 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8"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A product may be designated as a Breakthrough Therapy if it is intended, either alone or in combination with one or more other products, to treat a serious or life 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 disciplinary project lead for the review team; and taking other steps to design the clinical trials in an efficient manner.</w:t>
      </w:r>
    </w:p>
    <w:p>
      <w:pPr>
        <w:spacing w:after="0" w:line="164"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The FDA may designate a product for Priority Review if it is a product that treats a serious condition and, if approved, would provide a significant improvement in safety or effectiveness. The FDA determines, on a case by 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 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117"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The FDA may grant accelerated approval to a drug for a serious or life 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64"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95"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8"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The accelerated approval pathway is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right="140" w:firstLine="589"/>
        <w:spacing w:after="0" w:line="269" w:lineRule="auto"/>
        <w:rPr>
          <w:sz w:val="20"/>
          <w:szCs w:val="20"/>
          <w:color w:val="auto"/>
        </w:rPr>
      </w:pPr>
      <w:r>
        <w:rPr>
          <w:rFonts w:ascii="Arial" w:cs="Arial" w:eastAsia="Arial" w:hAnsi="Arial"/>
          <w:sz w:val="17"/>
          <w:szCs w:val="17"/>
          <w:color w:val="auto"/>
        </w:rPr>
        <w:t>Under the Orphan Drug Act, the FDA may grant Orphan Drug Designation to drugs intended to treat a rare disease or condition—generally a disease or condition that affects fewer than 200,000 individuals in the United States.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an exemption from the NDA application user fee.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117"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Under the Pediatric Research Equity Act of 2003, an NDA or supplement thereto must contain data that are adequate to assess the safety and effectiveness of the drug product for the claimed indications in all relevant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6" w:name="page37"/>
    <w:bookmarkEnd w:id="36"/>
    <w:p>
      <w:pPr>
        <w:ind w:right="100"/>
        <w:spacing w:after="0" w:line="263" w:lineRule="auto"/>
        <w:rPr>
          <w:sz w:val="20"/>
          <w:szCs w:val="20"/>
          <w:color w:val="auto"/>
        </w:rPr>
      </w:pPr>
      <w:r>
        <w:rPr>
          <w:rFonts w:ascii="Arial" w:cs="Arial" w:eastAsia="Arial" w:hAnsi="Arial"/>
          <w:sz w:val="18"/>
          <w:szCs w:val="18"/>
          <w:color w:val="auto"/>
        </w:rPr>
        <w:t>pediatric subpopulations, and to support dosing and administration for each pediatric subpopulation for which the product is safe and effective. With enactment of the Food and Drug Administration Safety and Innovation Act of 2012 (the FDASIA) sponsors must also submit pediatric study plans prior to the assessment data.</w:t>
      </w:r>
    </w:p>
    <w:p>
      <w:pPr>
        <w:spacing w:after="0" w:line="18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8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0" w:firstLine="589"/>
        <w:spacing w:after="0" w:line="275"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6"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8" w:lineRule="exact"/>
        <w:rPr>
          <w:sz w:val="20"/>
          <w:szCs w:val="20"/>
          <w:color w:val="auto"/>
        </w:rPr>
      </w:pPr>
    </w:p>
    <w:p>
      <w:pPr>
        <w:ind w:left="1160" w:right="12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including total or partial suspension of production, complete withdrawal of the product from the market or product recalls;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1160" w:right="7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license approvals;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187"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In addition, the distribution of prescription drug products is subject to the Prescription Drug Marketing Act (the PDMA) which regulates the distribution of drugs and drug samples at the federal level, and sets minimum standards for the registration and regulation of drug distributors by the states. Both the PDMA and state laws limit the distribution of prescription drug product samples and impose requirements to ensure accountability in distribution.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New Drug Applications for generic drugs</w:t>
      </w:r>
    </w:p>
    <w:p>
      <w:pPr>
        <w:spacing w:after="0" w:line="117"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In 1984, with passage of the Hatch-Waxman Amendments to the FDCA, Congress established an abbreviated regulatory scheme allowing the FDA to approve generic drugs that are shown to contain the same active ingredients as, and to be bioequivalent to, drugs previously approved by the FDA pursuant to NDAs. To obtain approval of a generic drug, an applicant must submit an abbreviated new drug application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 listed drug (RLD).</w:t>
      </w:r>
    </w:p>
    <w:p>
      <w:pPr>
        <w:spacing w:after="0" w:line="178"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and the strength of the drug. An applicant may submit an ANDA suitability petition to request the FDA’s prior permission to submit an abbreviated application for a drug that differs from the RLD in route of administration, dosage form, or strength, or for a drug that has one different active ingredient in a fixed combination drug product (i.e., a drug product with multiple active ingredients).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may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68" w:lineRule="exact"/>
        <w:rPr>
          <w:sz w:val="20"/>
          <w:szCs w:val="20"/>
          <w:color w:val="auto"/>
        </w:rPr>
      </w:pPr>
    </w:p>
    <w:p>
      <w:pPr>
        <w:ind w:right="180" w:firstLine="589"/>
        <w:spacing w:after="0" w:line="293" w:lineRule="auto"/>
        <w:rPr>
          <w:sz w:val="20"/>
          <w:szCs w:val="20"/>
          <w:color w:val="auto"/>
        </w:rPr>
      </w:pPr>
      <w:r>
        <w:rPr>
          <w:rFonts w:ascii="Arial" w:cs="Arial" w:eastAsia="Arial" w:hAnsi="Arial"/>
          <w:sz w:val="16"/>
          <w:szCs w:val="16"/>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from the date the NDA is approved, unless the submission is accompanied by a Paragraph IV certification, in which case the applicant may submit its application four years following the original product approval.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ind w:right="80" w:firstLine="589"/>
        <w:spacing w:after="0" w:line="254"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it does, however, block the FDA from approving ANDAs during the period of exclusivity. The FDA typically makes decisions about awards of data exclusivity shortly before a product is approved.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505(b)(2) New Drug Applications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product candidate for all, or some, of the label indications for which the reference drug has been approved, as well as for any new indication sought by the 505(b)(2) applicant.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patent certification and the 30-month stay</w:t>
      </w:r>
    </w:p>
    <w:p>
      <w:pPr>
        <w:spacing w:after="0" w:line="117" w:lineRule="exact"/>
        <w:rPr>
          <w:sz w:val="20"/>
          <w:szCs w:val="20"/>
          <w:color w:val="auto"/>
        </w:rPr>
      </w:pPr>
    </w:p>
    <w:p>
      <w:pPr>
        <w:ind w:right="600" w:firstLine="589"/>
        <w:spacing w:after="0" w:line="342" w:lineRule="auto"/>
        <w:rPr>
          <w:sz w:val="20"/>
          <w:szCs w:val="20"/>
          <w:color w:val="auto"/>
        </w:rPr>
      </w:pPr>
      <w:r>
        <w:rPr>
          <w:rFonts w:ascii="Arial" w:cs="Arial" w:eastAsia="Arial" w:hAnsi="Arial"/>
          <w:sz w:val="16"/>
          <w:szCs w:val="16"/>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Orange Book.</w:t>
      </w:r>
    </w:p>
    <w:p>
      <w:pPr>
        <w:spacing w:after="0" w:line="124"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statement certifying that its proposed ANDA label does not contain (or carve out) any language regarding the patented method-of-use rather than certify to a listed method-of-use patent, known as a Section VIII statement.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82"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ANDA application also will not be approved until any applicable non-patent exclusivity listed in the Orange Book for the referenced product has expired.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Patent term extension</w:t>
      </w:r>
    </w:p>
    <w:p>
      <w:pPr>
        <w:spacing w:after="0" w:line="117"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auto"/>
        </w:rPr>
        <w:t>After NDA approval,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effective date of an IND application and the submission date of a NDA, plus the time between NDA submission date and the NDA approval date up to a maximum of five years. The time can be shortened if the FDA determines that the applicant did not pursue approval with due diligence. The total patent term after the extension may not exceed 14 years from the date of product approval. Only one patent applicable to an approved drug is eligible for extension and only those claims covering the approved drug, a method for using it, or a method for manufacturing it may be extended and the application for the extension must be submitted prior to the expiration of the patent in question.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ind w:right="140" w:firstLine="589"/>
        <w:spacing w:after="0" w:line="272"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color w:val="auto"/>
        </w:rPr>
        <w:t>Although we do not currently have any products on the market, in addition to FDA restrictions on marketing of pharmaceutical products, we are also subject to healthcare statutory and regulatory requirements and enforcement by the U.S. federal and state governments. Even though we are not in a position to make patient referrals and do not bill Medicare, Medicaid, or other government or commercial third-party payers, our relationships with healthcare providers, physicians and third-party payors will subject us to healthcare statutory and regulatory requirements and enforcement by federal and state governments. These laws include anti-kickback statutes, false claims statutes and other healthcare laws and regulations.</w:t>
      </w:r>
    </w:p>
    <w:p>
      <w:pPr>
        <w:spacing w:after="0" w:line="161"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any remuneration, directly or indirectly, in cash or in kind, to induce, or in return for, purchasing, leasing, ordering, or arranging for, referring, or recommending the purchase, lease or order of any healthcare item or service reimbursable, in whole or in part, under Medicare, Medicaid, or other federal health care program. The Patient Protection and Affordable Care Act as amended by the Health Care and Education Reconciliation Act (collectively, the ACA) amended the intent element of the federal Anti-Kickback Statute to clarify that a person or entity need not have actual knowledge of the statute or specific intent to violate it in order to commit a violation. Among others, this statute applies to arrangements between pharmaceutical manufacturers on the one hand and prescribers, purchasers and formulary managers on the other, including, for example, consulting/speaking arrangements, discount and rebate offers, grants, charitable contributions and patient support offerings. A conviction for violation of the federal Anti-Kickback Statute can result in criminal fines and/or imprisonment and requires mandatory exclusion from participation in federal health care programs. Exclusion may also be imposed if the government determines that an entity has committed acts that are prohibited by the federal Anti-Kickback Statute. Although there are a number of statutory exceptions and regulatory safe harbors protecting certain common activities from prosecution or other regulatory sanctions under the law, the exceptions and safe harbors are drawn narrowly and practices that involve remuneration intended to induce prescribing, purchases or recommendations may be subject to scrutiny if they do not qualify for an exception or safe harbor. The federal Anti-Kickback Statute safe harbors are the subject of possible regulatory reforms. Any changes to the safe harbors may impact our future contractual and other arrangements with pharmacy benefit managers, group purchasing organizations, third party payors, wholesalers and distributors, healthcare providers and prescribers, and other entities, as well as our future pricing strategies.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0" w:name="page41"/>
    <w:bookmarkEnd w:id="40"/>
    <w:p>
      <w:pPr>
        <w:ind w:firstLine="589"/>
        <w:spacing w:after="0" w:line="286" w:lineRule="auto"/>
        <w:rPr>
          <w:sz w:val="20"/>
          <w:szCs w:val="20"/>
          <w:color w:val="auto"/>
        </w:rPr>
      </w:pPr>
      <w:r>
        <w:rPr>
          <w:rFonts w:ascii="Arial" w:cs="Arial" w:eastAsia="Arial" w:hAnsi="Arial"/>
          <w:sz w:val="16"/>
          <w:szCs w:val="16"/>
          <w:color w:val="auto"/>
        </w:rPr>
        <w:t xml:space="preserve">The federal civil False Claims Act prohibits, among other things, any person or entity from knowingly presenting, or causing to be presented, a false claim for payment to the federal government, or knowingly making, or causing to be made, a false record or statement material to a false claim. The False Claims Act, which covers claims made to programs where the federal government reimburses (directly or indirectly) individuals and entities, such as under the Medicare and Medicaid programs, as well as programs where the federal government is a direct purchaser, such as when it purchases off the Federal Supply Schedule. The law also prohibits avoiding, decreasing or concealing an obligation to pay money to the federal government. The government can bring claims directly or through a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and potential liability includes mandatory treble damages and significant per claim penalties, currently set at up to $23,332 per false claim or statement for penalties assessed after January 29, 2018, with respect to violations occurring after November 2, 2015.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ACA amended the federal Anti-Kickback Statute such that a violation of that statute can serve as a basis for liability under the federal False Claims Act. Most states also have statutes or regulations similar to the federal Anti-Kickback Statute and False Claims Act, which apply to items and services reimbursed under Medicaid and other state programs, or, in several states, apply regardless of the payor. There is also the Federal Criminal False Claims Act, which is similar to the Federal Civil False Claims Act and imposes criminal liability on those that make or present a false, fictitious or fraudulent claim to the federal government.</w:t>
      </w:r>
    </w:p>
    <w:p>
      <w:pPr>
        <w:spacing w:after="0" w:line="167"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or receive a reimbursable item or service from a particular provider, practitioner, or supplier (although pharmaceutical manufacturers are not considered suppliers for purposes of this law), and contracting with an individual or entity that the person knows or should know is excluded from participation in a federal health care program. In addition, federal criminal statutes created by the Health Insurance Portability and Accountability Act of 1996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65"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In addition, HIPAA, as amended by the Health Information Technology for Economic and Clinical Health Act (HITECH) and their respective implementing regulations, including the Final Omnibus Rule published on January 25, 2013, impose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requirements to facilitate certain patient rights, requirements to safeguard the privacy, security, and transmission of individually identifiable health information, and requirements to provide notice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These laws are rapidly evolving and may impose additional regulatory compliance burden and legal risks on our operations.</w:t>
      </w:r>
    </w:p>
    <w:p>
      <w:pPr>
        <w:spacing w:after="0" w:line="182"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Further, pursuant to the ACA, the Centers for Medicare &amp; Medicaid Services (CMS) has promulgated regulations to implement what is commonly known as the federal Physician Payment Sunshine Act, which, among other things, requires manufacturers of prescription drugs, among others, to collect and report information on certain payments or transfers of value they make to U.S.-licensed physicians and teaching hospitals, as well as investment interests held by physicians and their immediate family members. The reports must be submitted on an annual basis, and the reported data is made available in searchable form on a public website. Failure to submit required information may result in civil monetary penalties. Effective January 1, 2022, reporting on transfers of value to physician assistants, nurse practitioners or clinical nurse specialists, certified registered nurse anesthetists and certified nurse-midwives will also be required.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right="120" w:firstLine="589"/>
        <w:spacing w:after="0" w:line="254" w:lineRule="auto"/>
        <w:rPr>
          <w:sz w:val="20"/>
          <w:szCs w:val="20"/>
          <w:color w:val="auto"/>
        </w:rPr>
      </w:pPr>
      <w:r>
        <w:rPr>
          <w:rFonts w:ascii="Arial" w:cs="Arial" w:eastAsia="Arial" w:hAnsi="Arial"/>
          <w:sz w:val="18"/>
          <w:szCs w:val="18"/>
          <w:color w:val="auto"/>
        </w:rPr>
        <w:t>In addition, several states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w:t>
      </w:r>
    </w:p>
    <w:p>
      <w:pPr>
        <w:spacing w:after="0" w:line="19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40" w:firstLine="589"/>
        <w:spacing w:after="0" w:line="285" w:lineRule="auto"/>
        <w:rPr>
          <w:sz w:val="20"/>
          <w:szCs w:val="20"/>
          <w:color w:val="auto"/>
        </w:rPr>
      </w:pPr>
      <w:r>
        <w:rPr>
          <w:rFonts w:ascii="Arial" w:cs="Arial" w:eastAsia="Arial" w:hAnsi="Arial"/>
          <w:sz w:val="16"/>
          <w:szCs w:val="16"/>
          <w:color w:val="auto"/>
        </w:rPr>
        <w:t>In the United States there have been, and continue to be, proposals by the federal government, state governments, regulators and third-party payors to control or manage the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substantially change the way healthcare is financed by both governmental and private insurers, and significantly impacts the U.S. pharmaceutical industry. The ACA, among other things, (i) proscribed a new methodology by which rebates owed by manufacturers under the Medicaid Drug Rebate Program are calculated for drugs and therapeutic biologics that are inhaled, infused, instilled, implanted or injected, (ii) increased the minimum Medicaid rebates owed by manufacturers under the Medicaid Drug Rebate Program and extended the rebate program to individuals enrolled in Medicaid managed care organizations, (iii) established annual nondeductible fees and taxes on manufacturers of certain branded prescription drugs and therapeutic biologics, apportioned among these entities according to their market share in certain government healthcare programs (iv) established a new Medicare Part D coverage gap discount program, in which manufacturers must agree to offer what are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 expanded eligibility criteria for Medicaid programs by, among other things, allowing states to offer Medicaid coverage to additional individuals and by adding new mandatory eligibility categories for individuals with income at or below 138% of the federal poverty level, thereby potentially increasing manufacturers’ Medicaid rebate liability, (vi) expanded the entities eligible for discounts under the 340B Public Health program, (vii) required annual reporting of certain information regarding drug samples that manufacturers and distributors provide to licensed practitioners, (viii) created a new Patient-Centered Outcomes Research Institute to oversee, identify priorities in, and conduct comparative clinical effectiveness research, along with funding for such research, and (ix) established a Center for Medicare Innovation at CMS to test innovative payment and service delivery models to lower Medicare and Medicaid spending, potentially including prescription drug spending.</w:t>
      </w:r>
    </w:p>
    <w:p>
      <w:pPr>
        <w:spacing w:after="0" w:line="171" w:lineRule="exact"/>
        <w:rPr>
          <w:sz w:val="20"/>
          <w:szCs w:val="20"/>
          <w:color w:val="auto"/>
        </w:rPr>
      </w:pPr>
    </w:p>
    <w:p>
      <w:pPr>
        <w:ind w:right="320" w:firstLine="589"/>
        <w:spacing w:after="0" w:line="275" w:lineRule="auto"/>
        <w:rPr>
          <w:sz w:val="20"/>
          <w:szCs w:val="20"/>
          <w:color w:val="auto"/>
        </w:rPr>
      </w:pPr>
      <w:r>
        <w:rPr>
          <w:rFonts w:ascii="Arial" w:cs="Arial" w:eastAsia="Arial" w:hAnsi="Arial"/>
          <w:sz w:val="17"/>
          <w:szCs w:val="17"/>
          <w:color w:val="auto"/>
        </w:rPr>
        <w:t>The prior U.S. presidential administration and Congress sought to modify, repeal, or otherwise invalidate all, or certain provisions of, the ACA. From January 2017 through January 2021, the Trump administration issued three executive orders and other directives designed to delay the implementation of certain provisions of the ACA or otherwise circumvent some of the requirements for health insurance mandated by the ACA. For example, on January 22, 2018, the Trump administration signed a continuing resolution on appropriations for fiscal year 2018 that delayed the implementation of certain ACA-mandated fees, including the so-called “Cadillac” tax on certain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60"/>
        <w:spacing w:after="0" w:line="269" w:lineRule="auto"/>
        <w:rPr>
          <w:sz w:val="20"/>
          <w:szCs w:val="20"/>
          <w:color w:val="auto"/>
        </w:rPr>
      </w:pPr>
      <w:r>
        <w:rPr>
          <w:rFonts w:ascii="Arial" w:cs="Arial" w:eastAsia="Arial" w:hAnsi="Arial"/>
          <w:sz w:val="17"/>
          <w:szCs w:val="17"/>
          <w:color w:val="auto"/>
        </w:rPr>
        <w:t>high cost employer-sponsored insurance plans, the annual fee imposed on certain health insurance providers based on market share, and the medical device excise tax on non-exempt medical devices. Concurrently, Congress considered legislation that would repeal or repeal and replace all or part of the ACA. While Congress has not passed comprehensive repeal legislation, two bills affecting the implementation of certain taxes under the ACA have been signed into law. The Tax Cuts and Jobs Act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(i.e., whether the entire ACA was therefore also unconstitutional). The Supreme Court of the United States granted certiorari on March 2, 2020, and the case is expected to be decided in 2021.</w:t>
      </w:r>
    </w:p>
    <w:p>
      <w:pPr>
        <w:spacing w:after="0" w:line="182"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There is uncertainty with respect to the impact the new U.S. presidential administration and Congress may have, if any, and any changes will likely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w:t>
      </w:r>
    </w:p>
    <w:p>
      <w:pPr>
        <w:spacing w:after="0" w:line="19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Coronavirus Aid, Relief, and Economic Security Act (the CARES Act) temporarily suspended the 2% cut in Medicare payments from May 1, 2020 through December 31, 2020, and it extended the cut through fiscal year 2030 to offset the cost of such temporary suspension. The American Taxpayer Relief Act of 2012 made other changes, including reduced Medicare payments to several types of providers and increased the statute of limitations period for the government to recover overpayments to providers from three to five years. If federal spending is further reduced, anticipated budgetary shortfalls may also impact the ability of relevant agencies, such as the FDA or the NIH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82"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More recently the cost of prescription pharmaceuticals has been the subject of considerable discussion in the United States. Specifically, there have been several recent U.S. Congressional inquiries and proposed federal legislation designed to, among other things, bring more transparency to drug pricing, review the relationship between pricing and manufacturer patient support programs, reduce the cost of prescription drugs under Medicare and reform government program reimbursement methodologies for drug products. Any proposed measures will require authorization through additional legislation to become effective, and it is uncertain whether Congress or the new Biden administration will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 implementation of cost containment measures or other healthcare reforms may prevent us from being able to generate revenue, attain profitability, or commercialize any product that is ultimately approved, if approved.</w:t>
      </w:r>
    </w:p>
    <w:p>
      <w:pPr>
        <w:spacing w:after="0" w:line="185"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1 clinical trial and that 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260"/>
        <w:spacing w:after="0" w:line="263" w:lineRule="auto"/>
        <w:rPr>
          <w:sz w:val="20"/>
          <w:szCs w:val="20"/>
          <w:color w:val="auto"/>
        </w:rPr>
      </w:pPr>
      <w:r>
        <w:rPr>
          <w:rFonts w:ascii="Arial" w:cs="Arial" w:eastAsia="Arial" w:hAnsi="Arial"/>
          <w:sz w:val="18"/>
          <w:szCs w:val="18"/>
          <w:color w:val="auto"/>
        </w:rPr>
        <w:t>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As of November 30, 2020, we had 135 full-time employees, of which 115 are engaged in research and development.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7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right="100" w:firstLine="589"/>
        <w:spacing w:after="0" w:line="286" w:lineRule="auto"/>
        <w:rPr>
          <w:sz w:val="20"/>
          <w:szCs w:val="20"/>
          <w:color w:val="auto"/>
        </w:rPr>
      </w:pPr>
      <w:r>
        <w:rPr>
          <w:rFonts w:ascii="Arial" w:cs="Arial" w:eastAsia="Arial" w:hAnsi="Arial"/>
          <w:sz w:val="17"/>
          <w:szCs w:val="17"/>
          <w:color w:val="auto"/>
        </w:rPr>
        <w:t>We were incorporated under the laws of the State of Delaware in August 2009 under the name Kura Therapeutics, Inc. We subsequently changed our name to Nurix, Inc. in February 2012 and then to Nurix Therapeutics, Inc. in October 2018. Our principal executive offices are located at 1700 Owens Street, Suite 205, San Francisco, California 94158, and our telephone number is (415) 660-5320.</w:t>
      </w:r>
    </w:p>
    <w:p>
      <w:pPr>
        <w:spacing w:after="0" w:line="165"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The mark “Nurix” is our registered trademark in Canada, France, Germany, Italy, Japan, Mexico, Spain and the United Kingdom and for which we have a pending trademark application in the United States. The marks “DELigase,” “DeCART” and “DeTIL” are our trademarks for which we have a pending trademark application in the United States. The Nurix logo is our common law trademark. All other service marks, trademarks and trade names appearing in this Annual Report on Form 10-K are the property of their respective owners. Solely for convenience, the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Nurix's Internet website address is http://www.nurixtx.com. On our website, the company makes available, free of charge, its annual, quarterly and current reports, including amendments to such reports, as soon as reasonably practicable after the company electronically files such material with, or furnishes such material to, the Securities and Exchange Commission (SEC). The SEC maintains a website at www.sec.gov that contains reports as well as other information regarding us and other companies that file materials with the SEC electronically.</w:t>
      </w:r>
    </w:p>
    <w:p>
      <w:pPr>
        <w:spacing w:after="0" w:line="6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Also available on our website is information relating to corporate governance at Nurix and our Board of Directors, including our Corporate Governance Guidelines; our Code of Business Conduct and Ethics (for our directors, officers and employees); and our Board Committee Charters. We will provide any of the foregoing information without charge upon written request to our Corporate Secretary, Nurix Therapeutics, Inc., 1700 Owens Street, Suite 205, San Francisco, CA 94158.</w:t>
      </w:r>
    </w:p>
    <w:p>
      <w:pPr>
        <w:spacing w:after="0" w:line="7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use our Investor Relations website (http://ir.nurixtx.com) as a means of disclosing material non-public information and for complying with our disclosure obligations under Regulation Fair Disclosure promulgated by the SEC. These disclosures are included in the “News” and “Events and Presentations” sections of our website. Accordingly, investors should monitor these portions of our website, in addition to following our press releases, SEC filings and public conference calls and webcasts.</w:t>
      </w:r>
    </w:p>
    <w:p>
      <w:pPr>
        <w:spacing w:after="0" w:line="79"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The information contained on our website does not constitute, and shall not be deemed to constitute, a part of this Annual Report on Form 10-K, or any other report we file with, or furnish to, the SEC. Our references to the URLs for websites are intended to be inactive textual references only.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the accompanying notes and the information contained in our other public filings before deciding whether to invest in shares of our common stock.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trading price of our common stock could decline, and you could lose part or all of your investment.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risks discussed at-length below. These risks include, among others, the following:</w:t>
      </w:r>
    </w:p>
    <w:p>
      <w:pPr>
        <w:spacing w:after="0" w:line="62" w:lineRule="exact"/>
        <w:rPr>
          <w:sz w:val="20"/>
          <w:szCs w:val="20"/>
          <w:color w:val="auto"/>
        </w:rPr>
      </w:pPr>
    </w:p>
    <w:p>
      <w:pPr>
        <w:ind w:left="1160" w:right="58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at least the next several years and may never achieve or maintain profitability.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17" w:lineRule="exact"/>
        <w:rPr>
          <w:rFonts w:ascii="Arial" w:cs="Arial" w:eastAsia="Arial" w:hAnsi="Arial"/>
          <w:sz w:val="18"/>
          <w:szCs w:val="18"/>
          <w:color w:val="auto"/>
        </w:rPr>
      </w:pPr>
    </w:p>
    <w:p>
      <w:pPr>
        <w:ind w:left="1160" w:right="28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62" w:lineRule="exact"/>
        <w:rPr>
          <w:rFonts w:ascii="Arial" w:cs="Arial" w:eastAsia="Arial" w:hAnsi="Arial"/>
          <w:sz w:val="18"/>
          <w:szCs w:val="18"/>
          <w:color w:val="auto"/>
        </w:rPr>
      </w:pPr>
    </w:p>
    <w:p>
      <w:pPr>
        <w:ind w:left="1160" w:right="200" w:hanging="572"/>
        <w:spacing w:after="0" w:line="259"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very early in our development efforts. We only recently initiated clinical development of our first product candidate and all of our other product candidates are in preclinical development. If we are unable to advance to clinical development, develop, obtain regulatory approval for and commercialize our product candidates or experience significant delays in doing so, our business may be materially harmed.</w:t>
      </w:r>
    </w:p>
    <w:p>
      <w:pPr>
        <w:spacing w:after="0" w:line="78"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to evaluate the success of our business to date and to assess our future viability.</w:t>
      </w:r>
    </w:p>
    <w:p>
      <w:pPr>
        <w:spacing w:after="0" w:line="128" w:lineRule="exact"/>
        <w:rPr>
          <w:rFonts w:ascii="Arial" w:cs="Arial" w:eastAsia="Arial" w:hAnsi="Arial"/>
          <w:sz w:val="17"/>
          <w:szCs w:val="17"/>
          <w:color w:val="auto"/>
        </w:rPr>
      </w:pPr>
    </w:p>
    <w:p>
      <w:pPr>
        <w:ind w:left="1160" w:right="500" w:hanging="572"/>
        <w:spacing w:after="0" w:line="342"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15" w:lineRule="exact"/>
        <w:rPr>
          <w:rFonts w:ascii="Arial" w:cs="Arial" w:eastAsia="Arial" w:hAnsi="Arial"/>
          <w:sz w:val="16"/>
          <w:szCs w:val="16"/>
          <w:color w:val="auto"/>
        </w:rPr>
      </w:pPr>
    </w:p>
    <w:p>
      <w:pPr>
        <w:ind w:left="1160" w:right="40" w:hanging="572"/>
        <w:spacing w:after="0" w:line="286" w:lineRule="auto"/>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only recently initiated testing of our lead product candidate in clinical trials, and we have not tested any of our other product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57" w:lineRule="exact"/>
        <w:rPr>
          <w:rFonts w:ascii="Arial" w:cs="Arial" w:eastAsia="Arial" w:hAnsi="Arial"/>
          <w:sz w:val="17"/>
          <w:szCs w:val="17"/>
          <w:color w:val="auto"/>
        </w:rPr>
      </w:pPr>
    </w:p>
    <w:p>
      <w:pPr>
        <w:ind w:left="1160" w:right="28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1160" w:right="80" w:hanging="572"/>
        <w:spacing w:after="0" w:line="263"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to depend on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75" w:lineRule="exact"/>
        <w:rPr>
          <w:rFonts w:ascii="Arial" w:cs="Arial" w:eastAsia="Arial" w:hAnsi="Arial"/>
          <w:sz w:val="18"/>
          <w:szCs w:val="18"/>
          <w:color w:val="auto"/>
        </w:rPr>
      </w:pPr>
    </w:p>
    <w:p>
      <w:pPr>
        <w:ind w:left="1160" w:hanging="572"/>
        <w:spacing w:after="0" w:line="259"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CMO for the manufacture of both drug substance and finished drug product for our product candidates for preclinical testing and expect to continue to do so for our clinical trials and commercialization.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78" w:lineRule="exact"/>
        <w:rPr>
          <w:rFonts w:ascii="Arial" w:cs="Arial" w:eastAsia="Arial" w:hAnsi="Arial"/>
          <w:sz w:val="18"/>
          <w:szCs w:val="18"/>
          <w:color w:val="auto"/>
        </w:rPr>
      </w:pPr>
    </w:p>
    <w:p>
      <w:pPr>
        <w:ind w:left="1160" w:right="480" w:hanging="572"/>
        <w:spacing w:after="0" w:line="263"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commercial success and ability to effectively compete in the market depends, in part, upon our ability and the ability of our collaborators to obtain and maintain adequate patent protection for our technology, current product candidates and any future product candidates that we may develop and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ind w:left="1160" w:right="80"/>
        <w:spacing w:after="0" w:line="277" w:lineRule="auto"/>
        <w:rPr>
          <w:sz w:val="20"/>
          <w:szCs w:val="20"/>
          <w:color w:val="auto"/>
        </w:rPr>
      </w:pPr>
      <w:r>
        <w:rPr>
          <w:rFonts w:ascii="Arial" w:cs="Arial" w:eastAsia="Arial" w:hAnsi="Arial"/>
          <w:sz w:val="18"/>
          <w:szCs w:val="18"/>
          <w:color w:val="auto"/>
        </w:rPr>
        <w:t>ability to develop, manufacture, market and sell our product candidates and future product candidates and use our proprietary technologies without infringing, misappropriating or otherwise violating the intellectual property of others.</w:t>
      </w:r>
    </w:p>
    <w:p>
      <w:pPr>
        <w:spacing w:after="0" w:line="62" w:lineRule="exact"/>
        <w:rPr>
          <w:sz w:val="20"/>
          <w:szCs w:val="20"/>
          <w:color w:val="auto"/>
        </w:rPr>
      </w:pPr>
    </w:p>
    <w:p>
      <w:pPr>
        <w:ind w:left="1160" w:right="40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operations, clinical development plans, the timing of regulatory filings and regulatory approvals and the achievement of milestones could be adversely affected by the current COVID-19 pandemic.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6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Our net loss was $43.2 million and $21.7 million for the fiscal years ended November 30, 2020 and 2019, respectively. As of November 30, 2020, we had an accumulated deficit of $103.7 million. To date, we have not generated any revenue from product sales and have financed our operations primarily through our collaborations and sales of our equity interests. We are in the early stages of development of our product candidates. We filed an IND for NX-2127 in December 2020 and received clearance by the FDA to initiate human clinical trials. We expect to dose the first patient in a Phase 1 clinical trial for NX-2127 in the first quarter of 2021 and expect our four most advanced product candidates to enter clinical trials in 2021. We expect to continue to incur significant expenses and increasing operating losses for at least the next several years. We anticipate that our operating expenses and capital expenditure requirements will increase substantially if and as we:</w:t>
      </w:r>
    </w:p>
    <w:p>
      <w:pPr>
        <w:spacing w:after="0" w:line="69" w:lineRule="exact"/>
        <w:rPr>
          <w:sz w:val="20"/>
          <w:szCs w:val="20"/>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a Phase 1 clinical trial of our product candidate NX-2127;</w:t>
      </w:r>
    </w:p>
    <w:p>
      <w:pPr>
        <w:spacing w:after="0" w:line="117" w:lineRule="exact"/>
        <w:rPr>
          <w:rFonts w:ascii="Arial" w:cs="Arial" w:eastAsia="Arial" w:hAnsi="Arial"/>
          <w:sz w:val="18"/>
          <w:szCs w:val="18"/>
          <w:color w:val="auto"/>
        </w:rPr>
      </w:pPr>
    </w:p>
    <w:p>
      <w:pPr>
        <w:ind w:left="1160" w:right="56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 INDs elsewhere and initiate clinical trials of our other lead product candidates NX-1607, NX-5948, DeTIL-0255 and other drug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advanced clinical development and scale up external manufacturing capabilities to supply clinical trials;</w:t>
      </w:r>
    </w:p>
    <w:p>
      <w:pPr>
        <w:spacing w:after="0" w:line="117" w:lineRule="exact"/>
        <w:rPr>
          <w:rFonts w:ascii="Arial" w:cs="Arial" w:eastAsia="Arial" w:hAnsi="Arial"/>
          <w:sz w:val="18"/>
          <w:szCs w:val="18"/>
          <w:color w:val="auto"/>
        </w:rPr>
      </w:pPr>
    </w:p>
    <w:p>
      <w:pPr>
        <w:ind w:left="1160" w:right="72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the capabilities of our DELigase platform and apply our DELigase platform to advance additional product candidates into preclinical and clinical development;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process development for manufacturing of our DeTIL cell therapy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products for which we may obtain marketing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regulatory, manufacturing, quality assurance and scientific personnel; and</w:t>
      </w:r>
    </w:p>
    <w:p>
      <w:pPr>
        <w:spacing w:after="0" w:line="117"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170"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product candidates.</w:t>
      </w:r>
    </w:p>
    <w:p>
      <w:pPr>
        <w:spacing w:after="0" w:line="184"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17"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We only recently commenced clinical development of our first product candidate NX-2127, and we are currently only in the preclinical testing stages for our other most advanced product candidates and research programs. We expect that it will be many years, if ever, before we have a product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product candidates, discovering additional product candidates, establishing and maintaining arrangements with third parties for the manufacture of clinical supplies of our product candidates, obtaining marketing approval for our product candidates and manufacturing, marketing, selling and obtaining reimbursement for any products for which we may obtain marketing approval.</w:t>
      </w:r>
    </w:p>
    <w:p>
      <w:pPr>
        <w:spacing w:after="0" w:line="178"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If one or more of the product candidates that we develop is approved for commercial sale, we anticipate incurring significant costs associated with commercializing any approved product candidate. Even if we are able to generate revenues from the sale of any approved products, we may not become profitable and may need to obtain additional funding to continue operations.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62"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conduct our Phase 1 clinical trial of NX-2127, and work to prepare for IND submissions and initiate planned Phase 1 clinical trials of our other lead product candidates NX-1607, NX-5948, DeTIL-0255 and other drug candidates, grow our pipeline of product candidates, expand the breadth of our DELigase platform, continue research and development, and initiate additional clinical trials of and potentially seek marketing approval for our lead programs and other product candidates. In addition, if we obtain marketing approval for any of our product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otherwise would prefer to develop and market ourselves.</w:t>
      </w:r>
    </w:p>
    <w:p>
      <w:pPr>
        <w:spacing w:after="0" w:line="166"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had cash, cash equivalents and investments of $372.0 million as of November 30, 2020. We believe that our existing cash, cash equivalents and investments, will be sufficient to fund our operations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53" w:lineRule="exact"/>
        <w:rPr>
          <w:sz w:val="20"/>
          <w:szCs w:val="20"/>
          <w:color w:val="auto"/>
        </w:rPr>
      </w:pPr>
    </w:p>
    <w:p>
      <w:pPr>
        <w:jc w:val="both"/>
        <w:ind w:left="1160" w:right="220" w:hanging="572"/>
        <w:spacing w:after="0" w:line="342"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progress, costs and results of our Phase 1 clinical trial for NX-2127 and our planned Phase 1 clinical trials for our other lead product candidates NX-1607, NX-5948, DeTIL-0255 and other drug candidates, and any future clinical development of such product candidates;</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scope, progress, costs and results of preclinical and clinical development for our other product candidates and development programs;</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of, and costs associated with, future advancements to our DELigase platform;</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of, and costs associated with, future preclinical development of our DeTIL cell therapy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collaborations with Sanofi, Gilead and any other collaborations we may establish;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additional collaboration arrangements with other biotechnology or pharmaceutical companies on favorable terms, if at all, for the development or commercialization of our product candidates.</w:t>
      </w:r>
    </w:p>
    <w:p>
      <w:pPr>
        <w:spacing w:after="0" w:line="170"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We will need to raise substantial additional capital to complete the development and commercialization of our product candidates. In addition, our product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77"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product candidates or grant licenses on terms that may not be favorable to us.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to evaluate the success of our business to date and to assess our future viability.</w:t>
      </w:r>
    </w:p>
    <w:p>
      <w:pPr>
        <w:spacing w:after="0" w:line="129"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our product candidates. All of our product candidates are either in preclinical development or have only recently entered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92"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8" w:name="page49"/>
    <w:bookmarkEnd w:id="48"/>
    <w:p>
      <w:pPr>
        <w:ind w:right="500" w:firstLine="589"/>
        <w:spacing w:after="0" w:line="26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very early in our development efforts. All of our product candidates are either in preclinical development or have only recently entered clinical development. If we are unable to advance to clinical development, develop, obtain regulatory approval for and commercialize our product candidates or experience significant delays in doing so, our business may be materially harmed.</w:t>
      </w:r>
    </w:p>
    <w:p>
      <w:pPr>
        <w:spacing w:after="0" w:line="76" w:lineRule="exact"/>
        <w:rPr>
          <w:sz w:val="20"/>
          <w:szCs w:val="20"/>
          <w:color w:val="auto"/>
        </w:rPr>
      </w:pPr>
    </w:p>
    <w:p>
      <w:pPr>
        <w:ind w:right="280" w:firstLine="589"/>
        <w:spacing w:after="0" w:line="255" w:lineRule="auto"/>
        <w:rPr>
          <w:sz w:val="20"/>
          <w:szCs w:val="20"/>
          <w:color w:val="auto"/>
        </w:rPr>
      </w:pPr>
      <w:r>
        <w:rPr>
          <w:rFonts w:ascii="Arial" w:cs="Arial" w:eastAsia="Arial" w:hAnsi="Arial"/>
          <w:sz w:val="18"/>
          <w:szCs w:val="18"/>
          <w:color w:val="auto"/>
        </w:rPr>
        <w:t>We are very early in our development efforts. All of our product candidates are either in preclinical development or have only recently entered clinical development, and their risk of failure is high. We have invested substantially all of our efforts and financial resources in building our DELigase platform, in the identification and preclinical development of our current product candidates, and in the initiation of Phase 1 clinical trials for our lead product candidate, NX-2127. Our ability to generate revenue from product sales, which we do not expect will occur for many years, if ever, will depend heavily on the successful development and eventual commercialization of one or more of our product candidates. The success of our product candidates will depend on several factors, including the following:</w:t>
      </w:r>
    </w:p>
    <w:p>
      <w:pPr>
        <w:spacing w:after="0" w:line="84" w:lineRule="exact"/>
        <w:rPr>
          <w:sz w:val="20"/>
          <w:szCs w:val="20"/>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submission of INDs and initiation of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 continued acceptable safety profile of the products and maintaining such a profile following approval;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29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One of our approaches to the discovery and development of product candidates based on our targeted protein degradation platform is unproven, which makes it difficult to predict the time, cost of development and likelihood of successfully developing any products.</w:t>
      </w:r>
    </w:p>
    <w:p>
      <w:pPr>
        <w:spacing w:after="0" w:line="38"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Treating diseases using targeted protein degradation is a new treatment modality. Our future success depends on the successful development of this novel therapeutic approach. Very few small molecule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right="120"/>
        <w:spacing w:after="0" w:line="279" w:lineRule="auto"/>
        <w:rPr>
          <w:sz w:val="20"/>
          <w:szCs w:val="20"/>
          <w:color w:val="auto"/>
        </w:rPr>
      </w:pPr>
      <w:r>
        <w:rPr>
          <w:rFonts w:ascii="Arial" w:cs="Arial" w:eastAsia="Arial" w:hAnsi="Arial"/>
          <w:sz w:val="17"/>
          <w:szCs w:val="17"/>
          <w:color w:val="auto"/>
        </w:rPr>
        <w:t>designed to control cellular protein levels, such as our BTK CTMs, have been tested in humans, none has been approved in the United States or Europe, and the data underlying the feasibility of developing these therapeutic products is both preliminary and limited. Discovery and development of CTMs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171"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We believe that our CTM product candidates may offer an improved therapeutic approach by removing the disease-causing proteins instead of simply inhibiting their activities. However, the scientific research that forms the basis of our efforts to develop our CTM product candidates is ongoing and the scientific evidence to support the feasibility of developing CTM-based therapeutic treatments is both preliminary and limited. Further, certain patients have shown inherent primary resistance to approved BTK inhibitors and other patients have developed acquired secondary resistance to these inhibitors. Although we believe NX-2127 may have the ability to degrade the BTK mutation that confers resistance to currently marketed BTK inhibitors, any inherent primary or acquired secondary resistance to our BTK CTMs in patients would prevent or diminish their clinical benefit.</w:t>
      </w:r>
    </w:p>
    <w:p>
      <w:pPr>
        <w:spacing w:after="0" w:line="164"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We only recently initiated clinical development of NX-2127, and we have not yet initiated a clinical trial of any other CTM product candidate, nor have we assessed the safety of any CTM product candidate in humans. Although some of our product candidates have produced observable results in animal studies, there is a limited safety data set for their effects in animals. These product candidates may not demonstrate the same chemical and pharmacological properties in humans, and may interact with human biological systems in unforeseen, ineffective or harmful ways. As such, there may be adverse effects from treatment with any of our current or future product candidates that we cannot predict at this time.</w:t>
      </w:r>
    </w:p>
    <w:p>
      <w:pPr>
        <w:spacing w:after="0" w:line="17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Additionally, the regulatory approval process for novel product candidates such as ours can be more expensive and take longer than for other, better-known or extensively-studied product candidates. Although other companies are also developing therapeutics based on targeted protein degradation, no regulatory authority has granted approval for any such therapeutic. As a result of these factors, it is more difficult for us to predict the time and cost of CTM product candidate development, and we cannot predict whether targeted protein degradation will result in the development and marketing approval of any products. Any development problems we experience in the future related to any of our CTM research programs may cause significant delays or unanticipated costs or may prevent the development of a commercially viable product. Any of these factors may prevent us from completing our preclinical studies or any clinical trials that we may initiate, or from commercializing any CTM product candidates we may develop on a timely or profitable basis, if at all.</w:t>
      </w:r>
    </w:p>
    <w:p>
      <w:pPr>
        <w:spacing w:after="0" w:line="3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62"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All of our product candidates are either in preclinical development or have only recently entered clinical development, and their risk of failure is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192" w:lineRule="exact"/>
        <w:rPr>
          <w:sz w:val="20"/>
          <w:szCs w:val="20"/>
          <w:color w:val="auto"/>
        </w:rPr>
      </w:pPr>
    </w:p>
    <w:p>
      <w:pPr>
        <w:jc w:val="both"/>
        <w:ind w:right="240" w:firstLine="589"/>
        <w:spacing w:after="0" w:line="286"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the outcome. A failure of one or more clinical trials can occur at any stage of testing. We may experience numerous unforeseen events during, or as a result of, clinical trials, that could delay or prevent our ability to receive marketing approval or commercialize our product candidates, including:</w:t>
      </w:r>
    </w:p>
    <w:p>
      <w:pPr>
        <w:spacing w:after="0" w:line="57" w:lineRule="exact"/>
        <w:rPr>
          <w:sz w:val="20"/>
          <w:szCs w:val="20"/>
          <w:color w:val="auto"/>
        </w:rPr>
      </w:pPr>
    </w:p>
    <w:p>
      <w:pPr>
        <w:ind w:left="5540" w:right="2620" w:hanging="4952"/>
        <w:spacing w:after="0" w:line="527" w:lineRule="auto"/>
        <w:tabs>
          <w:tab w:leader="none" w:pos="1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delays in reaching, or may fail to reach, a consensus with regulators on trial design;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left="1160" w:right="60" w:hanging="572"/>
        <w:spacing w:after="0" w:line="286" w:lineRule="auto"/>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57" w:lineRule="exact"/>
        <w:rPr>
          <w:rFonts w:ascii="Arial" w:cs="Arial" w:eastAsia="Arial" w:hAnsi="Arial"/>
          <w:sz w:val="17"/>
          <w:szCs w:val="17"/>
          <w:color w:val="auto"/>
        </w:rPr>
      </w:pPr>
    </w:p>
    <w:p>
      <w:pPr>
        <w:ind w:left="1160" w:right="14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delays in reaching, or may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regulators or IRB may not authorize us or our investigators to commence a clinical trial or conduct a clinical trial at a prospective trial site;</w:t>
      </w:r>
    </w:p>
    <w:p>
      <w:pPr>
        <w:spacing w:after="0" w:line="140" w:lineRule="exact"/>
        <w:rPr>
          <w:rFonts w:ascii="Arial" w:cs="Arial" w:eastAsia="Arial" w:hAnsi="Arial"/>
          <w:sz w:val="16"/>
          <w:szCs w:val="16"/>
          <w:color w:val="auto"/>
        </w:rPr>
      </w:pPr>
    </w:p>
    <w:p>
      <w:pPr>
        <w:ind w:left="1160" w:right="36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selection of certain clinical endpoints may require prolonged periods of clinical observation or analysis of the resulting data;</w:t>
      </w:r>
    </w:p>
    <w:p>
      <w:pPr>
        <w:spacing w:after="0" w:line="128" w:lineRule="exact"/>
        <w:rPr>
          <w:rFonts w:ascii="Arial" w:cs="Arial" w:eastAsia="Arial" w:hAnsi="Arial"/>
          <w:sz w:val="17"/>
          <w:szCs w:val="17"/>
          <w:color w:val="auto"/>
        </w:rPr>
      </w:pPr>
    </w:p>
    <w:p>
      <w:pPr>
        <w:ind w:left="1160" w:right="240" w:hanging="572"/>
        <w:spacing w:after="0" w:line="342" w:lineRule="auto"/>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5" w:lineRule="exact"/>
        <w:rPr>
          <w:rFonts w:ascii="Arial" w:cs="Arial" w:eastAsia="Arial" w:hAnsi="Arial"/>
          <w:sz w:val="16"/>
          <w:szCs w:val="16"/>
          <w:color w:val="auto"/>
        </w:rPr>
      </w:pPr>
    </w:p>
    <w:p>
      <w:pPr>
        <w:ind w:left="1160" w:right="8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 to suspend or terminate the trials;</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IRB may require that we or our investigators suspend or terminate clinical trials for various reasons, including noncompliance with regulatory requirements;</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w:t>
      </w:r>
    </w:p>
    <w:p>
      <w:pPr>
        <w:spacing w:after="0" w:line="117"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caused by the COVID-19 pandemic may increase the likelihood that we encounter such difficulties or delays in initiating, enrolling, conducting or completing our planned and ongoing clinical trials.</w:t>
      </w:r>
    </w:p>
    <w:p>
      <w:pPr>
        <w:spacing w:after="0" w:line="170"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 changes in the way the product is administered;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740" w:firstLine="589"/>
        <w:spacing w:after="0" w:line="277" w:lineRule="auto"/>
        <w:rPr>
          <w:sz w:val="20"/>
          <w:szCs w:val="20"/>
          <w:color w:val="auto"/>
        </w:rPr>
      </w:pPr>
      <w:r>
        <w:rPr>
          <w:rFonts w:ascii="Arial" w:cs="Arial" w:eastAsia="Arial" w:hAnsi="Arial"/>
          <w:sz w:val="18"/>
          <w:szCs w:val="18"/>
          <w:color w:val="auto"/>
        </w:rPr>
        <w:t>Our product development costs also will increase if we experience delays in preclinical studies or clinical trials or in obtaining marketing approvals. We do not know whether any of our preclinical studies or clinical trials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51" w:name="page52"/>
    <w:bookmarkEnd w:id="51"/>
    <w:p>
      <w:pPr>
        <w:ind w:right="40"/>
        <w:spacing w:after="0" w:line="259" w:lineRule="auto"/>
        <w:rPr>
          <w:sz w:val="20"/>
          <w:szCs w:val="20"/>
          <w:color w:val="auto"/>
        </w:rPr>
      </w:pPr>
      <w:r>
        <w:rPr>
          <w:rFonts w:ascii="Arial" w:cs="Arial" w:eastAsia="Arial" w:hAnsi="Arial"/>
          <w:sz w:val="18"/>
          <w:szCs w:val="18"/>
          <w:color w:val="auto"/>
        </w:rPr>
        <w:t>will begin as planned, will need to be restructured or will be completed on schedule, or at all.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187"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planned clinical trials for our lead product candidates NX-2127 and NX-1607 and other drug candidates will be with patients who have received one or more prior treatments. Subsequently, for those products that prove to be sufficiently beneficial, if any, we would expect to seek approval potentially as a first-line therapy, but any product candidates we develop, even if approved, may not be approved for first-line therapy, and, prior to any such approvals, we may have to conduct additional clinical trials.</w:t>
      </w:r>
    </w:p>
    <w:p>
      <w:pPr>
        <w:spacing w:after="0" w:line="28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38"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have not evaluated any product candidates in human clinical trials, and there have been very few clinical trials to date involving small molecule product candidates designed to control cellular protein levels through targeted protein degradation. It is impossible to predict when or if any product candidates we may develop will prove safe in humans. There is a limited safety data set for the effects of NX-2127, NX-1607, NX-5948 and DeTIL-0255 in animals and our product candidates have not been tested on humans at all. There can be no assurance that our current product candidates or any future product candidate will not cause undesirable side effects. Unforeseen side effects from our product candidates could arise at any time during preclinical or clinical development.</w:t>
      </w:r>
    </w:p>
    <w:p>
      <w:pPr>
        <w:spacing w:after="0" w:line="192"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product candidates in any of our planned or future clinical studies. There also is the potential risk of delayed adverse events following treatment with our product candidates.</w:t>
      </w:r>
    </w:p>
    <w:p>
      <w:pPr>
        <w:spacing w:after="0" w:line="18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If any product candidates we develop are associated with serious adverse events, or undesirable side effects, or have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In our preclinical studies, we may observe undesirable characteristics of our product candidates. This may prevent us from advancing them into clinical trials, delay these trials or limit the extent of these trials. For example, increased bleeding risk and cardiac arrhythmia such as atrial fibrillation have been reported side effects of approved BTK inhibitors. NX-1607 could activate the immune response to unsafe levels and may have the potential to induce hypercytokinemia, or cytokine storm, which is the overstimulation of immune cells and subsequent overproduction of their activating compounds. Many product candidates that initially showed promise in early-stage testing for treating cancer or other diseases later have been found to cause side effects that prevented further clinical development of the product candidates or limited their competitiveness in the market.</w:t>
      </w:r>
    </w:p>
    <w:p>
      <w:pPr>
        <w:spacing w:after="0" w:line="29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b w:val="1"/>
          <w:bCs w:val="1"/>
          <w:i w:val="1"/>
          <w:iCs w:val="1"/>
          <w:color w:val="auto"/>
        </w:rPr>
        <w:t>We expect to dose the first patient in our first clinical trial in the first quarter of 2021 and have not tested any of our other product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5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results of preclinical studies may not be predictive of the results of clinical trials, and the results of any early-stage clinical trials we commence may not be predictive of the results of the later-stage clinical trials.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40"/>
        <w:spacing w:after="0" w:line="288" w:lineRule="auto"/>
        <w:rPr>
          <w:sz w:val="20"/>
          <w:szCs w:val="20"/>
          <w:color w:val="auto"/>
        </w:rPr>
      </w:pPr>
      <w:r>
        <w:rPr>
          <w:rFonts w:ascii="Arial" w:cs="Arial" w:eastAsia="Arial" w:hAnsi="Arial"/>
          <w:sz w:val="16"/>
          <w:szCs w:val="16"/>
          <w:color w:val="auto"/>
        </w:rPr>
        <w:t>addition, initial success in clinical trials may not be indicative of results obtained when such trials are completed. In particular, the small number of patients in our planned early clinical trials may make the results of these trials less predictive of the outcome of later clinical trials. For example, even if successful, the results of our initial clinical trial for NX-2127 and of our planned Phase 1 clinical trials of our other lead product candidates NX-1607, NX-5948 and DeTIL-0255 and other drug candidates may not be predictive of the results of further clinical trials of these product candidates or any of our other product candidates. Moreover, preclinical and clinical data often are susceptible to varying interpretations and analyses, and many companies that have believed their product candidates performed satisfactorily in preclinical studies and clinical trials nonetheless have failed to obtain marketing approval of their products. Our future clinical trials may not ultimately be successful or support further clinical development of any of our product candidates. There is a high failure rate for product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27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delays or difficulties in enrolling patients in clinical trials, our receipt of necessary marketing approvals could be delayed or prevented.</w:t>
      </w:r>
    </w:p>
    <w:p>
      <w:pPr>
        <w:spacing w:after="0" w:line="152"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In particular, we are preparing to dose the first patient in a Phase 1 clinical trial for NX-2127 in patients with CLL and other B-cell malignancies and we are preparing to begin Phase 1 clinical trials for NX-1607 in immune-oncology indications. We cannot predict how difficult it will be to enroll patients for trials in these indications. Therefore, our ability to identify and enroll eligible patients for our NX-2127 clinical trial and our planned NX-1607 clinical trial may be limited or may result in slower enrollment than we anticipate. In addition, some of our competitors have ongoing clinical trials for product candidates that treat the same indications as our product candidates, and patients who otherwise would be eligible for our planned clinical trials instead may enroll in clinical trials of our competitors’ product candidates. Moreover, the size of the relevant patient populations for the diseases that our lead product candidates target are small and as more companies begin to focus attention and resources on product candidates to treat the same indications as our product candidates we may experience delays or be unable to successfully recruit and enroll a sufficient number of eligible patients in our clinical trials. Patient enrollment is affected by other factors including:</w:t>
      </w:r>
    </w:p>
    <w:p>
      <w:pPr>
        <w:spacing w:after="0" w:line="74" w:lineRule="exact"/>
        <w:rPr>
          <w:sz w:val="20"/>
          <w:szCs w:val="20"/>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and efficacy of approved medications for the disease under investigation;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candidates under study;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physicians’ attitudes and practices with respect to clinical trial enrollment;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burden on patients due to inconvenient procedures;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current COVID-19 pandemic, which may affect the conduct of a clinical trial, including by slowing potential enrollment or reducing the number of eligible patients for clinical trials.</w:t>
      </w:r>
    </w:p>
    <w:p>
      <w:pPr>
        <w:spacing w:after="0" w:line="170"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product candidates, which would cause the value of our company to decline and limit our ability to obtain additional financing.</w:t>
      </w:r>
    </w:p>
    <w:p>
      <w:pPr>
        <w:spacing w:after="0" w:line="2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240" w:firstLine="589"/>
        <w:spacing w:after="0" w:line="291"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manufacture of drugs is complex and we and our third-party manufacturers are early in our manufacturing efforts.</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have established manufacturing relationships with a limited number of suppliers to manufacture raw materials and the drug substance of any product candidate for which we now are pursuing, or may in the future pursue, preclinical or clinical development. Our current cGMPs, manufacturing process development with our third-party manufacturers and scale-up is at an early stage. The actual cost to manufacture and process our product candidates could be greater than we expect and could materially and adversely affect the commercial viability of our product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product candidates for clinical trials, our ability to obtain marketing approval, or our ability to provide supply of our product candidates for patients, if approved, could be delayed or stopped.</w:t>
      </w:r>
    </w:p>
    <w:p>
      <w:pPr>
        <w:spacing w:after="0" w:line="2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62" w:lineRule="exact"/>
        <w:rPr>
          <w:sz w:val="20"/>
          <w:szCs w:val="20"/>
          <w:color w:val="auto"/>
        </w:rPr>
      </w:pPr>
    </w:p>
    <w:p>
      <w:pPr>
        <w:ind w:right="280" w:firstLine="589"/>
        <w:spacing w:after="0" w:line="271" w:lineRule="auto"/>
        <w:rPr>
          <w:sz w:val="20"/>
          <w:szCs w:val="20"/>
          <w:color w:val="auto"/>
        </w:rPr>
      </w:pPr>
      <w:r>
        <w:rPr>
          <w:rFonts w:ascii="Arial" w:cs="Arial" w:eastAsia="Arial" w:hAnsi="Arial"/>
          <w:sz w:val="17"/>
          <w:szCs w:val="17"/>
          <w:color w:val="auto"/>
        </w:rPr>
        <w:t>We are exploring the use of T cell-enhancing compounds to improve the current industry-standard methods and technology for adoptive cellular therapies (ACTs) in both hematologic cancers and solid tumors. ACTs represent a class of immunotherapy in which T cells are isolated directly from patient tumors, as with TIL, or from patient blood with subsequent genetic modification to recognize specific antigens present on cancer cells, as with CAR-T therapies. These tumor-reactive T cells are then expanded and infused back into the patient. These cell therapy technologies are a relatively new and expanding category of therapeutics, with which we have limited experience. We may observe undesirable characteristics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4" w:name="page55"/>
    <w:bookmarkEnd w:id="54"/>
    <w:p>
      <w:pPr>
        <w:ind w:right="220"/>
        <w:spacing w:after="0" w:line="291" w:lineRule="auto"/>
        <w:rPr>
          <w:sz w:val="20"/>
          <w:szCs w:val="20"/>
          <w:color w:val="auto"/>
        </w:rPr>
      </w:pPr>
      <w:r>
        <w:rPr>
          <w:rFonts w:ascii="Arial" w:cs="Arial" w:eastAsia="Arial" w:hAnsi="Arial"/>
          <w:sz w:val="16"/>
          <w:szCs w:val="16"/>
          <w:color w:val="auto"/>
        </w:rPr>
        <w:t>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product candidates. Moreover, the FDA regulatory pathway for our DeTIL and CAR-T programs is not clear and may require us to file a Biologics License Application or an application for a Combination Product, and will be subject to further discussion with regulators. Because this is a relatively new and expanding area, there are many uncertainties related to the appropriate regulatory pathway, development, manufacturing, marketing, reimbursement, and the commercial potential for these product candidates, and we may never be successful in developing these therapeutics.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product candidates.</w:t>
      </w:r>
    </w:p>
    <w:p>
      <w:pPr>
        <w:spacing w:after="0" w:line="117" w:lineRule="exact"/>
        <w:rPr>
          <w:sz w:val="20"/>
          <w:szCs w:val="20"/>
          <w:color w:val="auto"/>
        </w:rPr>
      </w:pPr>
    </w:p>
    <w:p>
      <w:pPr>
        <w:jc w:val="both"/>
        <w:ind w:right="300" w:firstLine="589"/>
        <w:spacing w:after="0" w:line="259" w:lineRule="auto"/>
        <w:rPr>
          <w:sz w:val="20"/>
          <w:szCs w:val="20"/>
          <w:color w:val="auto"/>
        </w:rPr>
      </w:pPr>
      <w:r>
        <w:rPr>
          <w:rFonts w:ascii="Arial" w:cs="Arial" w:eastAsia="Arial" w:hAnsi="Arial"/>
          <w:sz w:val="18"/>
          <w:szCs w:val="18"/>
          <w:color w:val="auto"/>
        </w:rPr>
        <w:t>A key element of our strategy is to apply our DELigase platform to address a broad array of targets and new therapeutic areas. The therapeutic discovery activities we are conducting may not be successful in identifying product candidates that are useful in treating hematologic cancers, immune-mediated diseases or any other diseases. Our research programs initially may show promise in identifying potential product candidates, yet fail to yield product candidates for clinical development for a number of reasons, including:</w:t>
      </w:r>
    </w:p>
    <w:p>
      <w:pPr>
        <w:spacing w:after="0" w:line="79" w:lineRule="exact"/>
        <w:rPr>
          <w:sz w:val="20"/>
          <w:szCs w:val="20"/>
          <w:color w:val="auto"/>
        </w:rPr>
      </w:pPr>
    </w:p>
    <w:p>
      <w:pPr>
        <w:ind w:left="1160" w:right="8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drugs that will receive marketing approval or achieve market acceptance; or</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w:t>
      </w:r>
    </w:p>
    <w:p>
      <w:pPr>
        <w:spacing w:after="0" w:line="225"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expand the breadth of our DELigase platform.</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 key element of our strategy is to expand the capabilities of our DELigase platform and leverage our platform to discover, develop and potentially commercialize additional product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product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289"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62"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720"/>
        <w:spacing w:after="0" w:line="277" w:lineRule="auto"/>
        <w:rPr>
          <w:sz w:val="20"/>
          <w:szCs w:val="20"/>
          <w:color w:val="auto"/>
        </w:rPr>
      </w:pPr>
      <w:r>
        <w:rPr>
          <w:rFonts w:ascii="Arial" w:cs="Arial" w:eastAsia="Arial" w:hAnsi="Arial"/>
          <w:sz w:val="18"/>
          <w:szCs w:val="18"/>
          <w:color w:val="auto"/>
        </w:rPr>
        <w:t>and private research institutions that conduct research, seek patent protection, and establish collaborative arrangements for research, development, manufacturing and commercialization.</w:t>
      </w:r>
    </w:p>
    <w:p>
      <w:pPr>
        <w:spacing w:after="0" w:line="170"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We are aware of several biotechnology companies focused on developing small molecules that degrade target proteins including Arvinas, Inc., C4 Therapeutics, Inc., Cullgen Inc. and Kymera Therapeutics, Inc., all of which currently are in preclinical or clinical development. Further, several large pharmaceutical companies have disclosed preclinical investments in this field, including Amgen Inc., AstraZeneca plc, Bristol-Myers Squibb Company, Genentech, Inc., GlaxoSmithKline plc and Novartis International AG.</w:t>
      </w:r>
    </w:p>
    <w:p>
      <w:pPr>
        <w:spacing w:after="0" w:line="18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30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6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right="80"/>
        <w:spacing w:after="0" w:line="277" w:lineRule="auto"/>
        <w:rPr>
          <w:sz w:val="20"/>
          <w:szCs w:val="20"/>
          <w:color w:val="auto"/>
        </w:rPr>
      </w:pPr>
      <w:r>
        <w:rPr>
          <w:rFonts w:ascii="Arial" w:cs="Arial" w:eastAsia="Arial" w:hAnsi="Arial"/>
          <w:sz w:val="18"/>
          <w:szCs w:val="18"/>
          <w:color w:val="auto"/>
        </w:rPr>
        <w:t>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121"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have sought third-party collaborators for the research, development, and commercialization of some of our CTM programs. For example, in June 2019 we entered into a collaboration with Gilead and in December 2019 we entered into a collaboration with Sanofi, which was subsequently expanded and amended in January 2021.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92"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Collaborations involving our research programs or any product candidates we may develop, including our collaborations with Sanofi and Gilead, pose the following risks to us:</w:t>
      </w:r>
    </w:p>
    <w:p>
      <w:pPr>
        <w:spacing w:after="0" w:line="62"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160" w:right="80" w:hanging="572"/>
        <w:spacing w:after="0" w:line="311" w:lineRule="auto"/>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40" w:lineRule="exact"/>
        <w:rPr>
          <w:rFonts w:ascii="Arial" w:cs="Arial" w:eastAsia="Arial" w:hAnsi="Arial"/>
          <w:sz w:val="16"/>
          <w:szCs w:val="16"/>
          <w:color w:val="auto"/>
        </w:rPr>
      </w:pPr>
    </w:p>
    <w:p>
      <w:pPr>
        <w:jc w:val="both"/>
        <w:ind w:left="1160" w:right="80" w:hanging="572"/>
        <w:spacing w:after="0" w:line="263"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Sanofi and Gilead have broad option rights to select up to five targets each for exclusive CTM development, so long as not excluded by us under the terms of each collaboration, and may select targets we are considering but have not taken sufficient action to exclude under each collaboration.</w:t>
      </w:r>
    </w:p>
    <w:p>
      <w:pPr>
        <w:spacing w:after="0" w:line="75" w:lineRule="exact"/>
        <w:rPr>
          <w:rFonts w:ascii="Arial" w:cs="Arial" w:eastAsia="Arial" w:hAnsi="Arial"/>
          <w:sz w:val="18"/>
          <w:szCs w:val="18"/>
          <w:color w:val="auto"/>
        </w:rPr>
      </w:pPr>
    </w:p>
    <w:p>
      <w:pPr>
        <w:ind w:left="1160" w:right="260" w:hanging="572"/>
        <w:spacing w:after="0" w:line="308" w:lineRule="auto"/>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160" w:right="120" w:hanging="572"/>
        <w:spacing w:after="0" w:line="263"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could develop independently,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160" w:right="20" w:hanging="572"/>
        <w:spacing w:after="0" w:line="296" w:lineRule="auto"/>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53" w:lineRule="exact"/>
        <w:rPr>
          <w:rFonts w:ascii="Arial" w:cs="Arial" w:eastAsia="Arial" w:hAnsi="Arial"/>
          <w:sz w:val="16"/>
          <w:szCs w:val="16"/>
          <w:color w:val="auto"/>
        </w:rPr>
      </w:pPr>
    </w:p>
    <w:p>
      <w:pPr>
        <w:ind w:left="1160" w:right="180" w:hanging="572"/>
        <w:spacing w:after="0" w:line="263"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ind w:left="1160" w:right="12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62" w:lineRule="exact"/>
        <w:rPr>
          <w:rFonts w:ascii="Arial" w:cs="Arial" w:eastAsia="Arial" w:hAnsi="Arial"/>
          <w:sz w:val="18"/>
          <w:szCs w:val="18"/>
          <w:color w:val="auto"/>
        </w:rPr>
      </w:pPr>
    </w:p>
    <w:p>
      <w:pPr>
        <w:ind w:left="1160" w:right="40" w:hanging="572"/>
        <w:spacing w:after="0" w:line="259"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78" w:lineRule="exact"/>
        <w:rPr>
          <w:rFonts w:ascii="Arial" w:cs="Arial" w:eastAsia="Arial" w:hAnsi="Arial"/>
          <w:sz w:val="18"/>
          <w:szCs w:val="18"/>
          <w:color w:val="auto"/>
        </w:rPr>
      </w:pPr>
    </w:p>
    <w:p>
      <w:pPr>
        <w:ind w:left="1160" w:hanging="572"/>
        <w:spacing w:after="0" w:line="286" w:lineRule="auto"/>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65"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195"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We may in the future decide to collaborate with pharmaceutical and biotechnology companies for the development and potential commercialization of any product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proposed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62"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product candidates for which we may seek a collaboration.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product candidate, the costs and complexities of manufacturing and delivering such product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product candidates or technologies for similar indications and will have to evaluate whether such a collaboration could be more attractive than one with us.</w:t>
      </w:r>
    </w:p>
    <w:p>
      <w:pPr>
        <w:spacing w:after="0" w:line="168"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Collaborations are complex and time-consuming to negotiate, document and execute. In addition, consolidation among large pharmaceutical companies has reduced the number of potential future collaborators,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right="400"/>
        <w:spacing w:after="0" w:line="277" w:lineRule="auto"/>
        <w:rPr>
          <w:sz w:val="20"/>
          <w:szCs w:val="20"/>
          <w:color w:val="auto"/>
        </w:rPr>
      </w:pPr>
      <w:r>
        <w:rPr>
          <w:rFonts w:ascii="Arial" w:cs="Arial" w:eastAsia="Arial" w:hAnsi="Arial"/>
          <w:sz w:val="18"/>
          <w:szCs w:val="18"/>
          <w:color w:val="auto"/>
        </w:rPr>
        <w:t>we may not be able to locate a suitable collaborator. Any collaboration we enter into may limit our ability to enter into future agreements on particular terms or covering similar target indications with other potential collaborators.</w:t>
      </w:r>
    </w:p>
    <w:p>
      <w:pPr>
        <w:spacing w:after="0" w:line="170"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product sales, which could have an adverse effect on our business, prospects, financial condition and results of operations.</w:t>
      </w:r>
    </w:p>
    <w:p>
      <w:pPr>
        <w:spacing w:after="0" w:line="28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those third parties may not perform satisfactorily, including failing to meet deadlines for completing such trials.</w:t>
      </w:r>
    </w:p>
    <w:p>
      <w:pPr>
        <w:spacing w:after="0" w:line="62"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We will rely on third-party clinical research organizations (CROs) to conduct our Phase 1 clinical trial program for NX-2127, our planned Phase 1 clinical trial programs for NX-1607, NX-5948 and DeTIL-0255, and any other clinical trials for other drug candidates. We currently do not plan to conduct any clinical trials independently. Agreements with these CROs might terminate for a variety of reasons, including for their failure to perform. Entry into alternative arrangements, if necessary, could significantly delay our product development activities.</w:t>
      </w:r>
    </w:p>
    <w:p>
      <w:pPr>
        <w:spacing w:after="0" w:line="17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188" w:lineRule="exact"/>
        <w:rPr>
          <w:sz w:val="20"/>
          <w:szCs w:val="20"/>
          <w:color w:val="auto"/>
        </w:rPr>
      </w:pPr>
    </w:p>
    <w:p>
      <w:pPr>
        <w:ind w:right="480" w:firstLine="589"/>
        <w:spacing w:after="0" w:line="311" w:lineRule="auto"/>
        <w:rPr>
          <w:sz w:val="20"/>
          <w:szCs w:val="20"/>
          <w:color w:val="auto"/>
        </w:rPr>
      </w:pPr>
      <w:r>
        <w:rPr>
          <w:rFonts w:ascii="Arial" w:cs="Arial" w:eastAsia="Arial" w:hAnsi="Arial"/>
          <w:sz w:val="16"/>
          <w:szCs w:val="16"/>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5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We rely on third-party contract manufacturing organizations for the manufacture of both drug substance and finished drug product for our product candidates for preclinical testing and expect to continue to do so for our clinical trials and commercialization.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63"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We do not own or operate, and currently have no plans to establish, any manufacturing facilities. We rely on and expect to continue to rely on CMOs for both drug substance and finished drug product, and ACT product. This reliance on CMOs, particularly where one CMO is the sole source of the drug substance or finished drug product, or ACT product, may increase the risk that we will not have sufficient quantities of our product candidates or products or such quantities at an acceptable cost or quality, which could delay, prevent or impair our development or commercialization efforts.</w:t>
      </w:r>
    </w:p>
    <w:p>
      <w:pPr>
        <w:spacing w:after="0" w:line="157"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We may be unable to establish agreements with CMOs or to do so on acceptable terms. Even if we are able to establish agreements with CMOs, reliance on them entails additional risks, including:</w:t>
      </w:r>
    </w:p>
    <w:p>
      <w:pPr>
        <w:spacing w:after="0" w:line="62" w:lineRule="exact"/>
        <w:rPr>
          <w:sz w:val="20"/>
          <w:szCs w:val="20"/>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reliance on the CMO for regulatory, compliance and quality assurance;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CMO;</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CMO at a time that is costly or inconvenient for us.</w:t>
      </w:r>
    </w:p>
    <w:p>
      <w:pPr>
        <w:spacing w:after="0" w:line="225"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have only limited technology transfer agreements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If we receive marketing approval for any of our product candidates, we will need to establish an agreement for commercial manufacture with a third party.</w:t>
      </w:r>
    </w:p>
    <w:p>
      <w:pPr>
        <w:spacing w:after="0" w:line="187" w:lineRule="exact"/>
        <w:rPr>
          <w:sz w:val="20"/>
          <w:szCs w:val="20"/>
          <w:color w:val="auto"/>
        </w:rPr>
      </w:pPr>
    </w:p>
    <w:p>
      <w:pPr>
        <w:ind w:right="320" w:firstLine="589"/>
        <w:spacing w:after="0" w:line="301" w:lineRule="auto"/>
        <w:rPr>
          <w:sz w:val="20"/>
          <w:szCs w:val="20"/>
          <w:color w:val="auto"/>
        </w:rPr>
      </w:pPr>
      <w:r>
        <w:rPr>
          <w:rFonts w:ascii="Arial" w:cs="Arial" w:eastAsia="Arial" w:hAnsi="Arial"/>
          <w:sz w:val="16"/>
          <w:szCs w:val="16"/>
          <w:color w:val="auto"/>
        </w:rPr>
        <w:t>The CMOs we retain may not be able to comply with cGMP regulations or similar regulatory requirements outside of the United States. Our failure, or the failure of our CMOs,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57"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4"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w:t>
      </w:r>
    </w:p>
    <w:p>
      <w:pPr>
        <w:spacing w:after="0" w:line="188" w:lineRule="exact"/>
        <w:rPr>
          <w:sz w:val="20"/>
          <w:szCs w:val="20"/>
          <w:color w:val="auto"/>
        </w:rPr>
      </w:pPr>
    </w:p>
    <w:p>
      <w:pPr>
        <w:ind w:right="360" w:firstLine="58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Some of our suppliers may experience disruption to their respective supply chain due to the effects of the COVID-19 pandemic, which could delay, prevent or impair our development or commercialization efforts.</w:t>
      </w:r>
    </w:p>
    <w:p>
      <w:pPr>
        <w:spacing w:after="0" w:line="62"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We obtain certain chemical or biological intermediates in the synthesis of our product candidates and NHPs for toxicology testing in countries affected by the COVID-19 pandemic. If we are unable to obtain these chemical or biological intermediates or NHPs in sufficient quantity and in a timely manner,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CMOs may be unable to successfully scale-up manufacturing of our product candidates in sufficient quality and quantity, which would delay or prevent us from developing our product candidates and commercializing approved products, if any.</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order to conduct clinical trials of our product candidates, we will need to manufacture them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product candidate may be delayed or infeasible, and regulatory approval or commercial launch of any resulting product may be delayed or not obtained, which could significantly harm our business.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Even if any of our product candidates receives marketing approval, a product candidate may fail to achieve the degree of market acceptance by physicians, patients, third-party payors and others in the medical community necessary for commercial success.</w:t>
      </w:r>
    </w:p>
    <w:p>
      <w:pPr>
        <w:spacing w:after="0" w:line="38"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we may not be successful in commercializing our product candidates if and when they are approved.</w:t>
      </w:r>
    </w:p>
    <w:p>
      <w:pPr>
        <w:spacing w:after="0" w:line="62"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184"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We currently expect that we may build our own focused, specialized sales and marketing organization to support the commercialization in the United States of product candidates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160" w:right="1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If we are unable to establish our own sales and marketing capabilities and enter into arrangements with third parties to perform these services, our revenue from product sales and our profitability, if any, are likely to be lower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61" w:name="page62"/>
    <w:bookmarkEnd w:id="61"/>
    <w:p>
      <w:pPr>
        <w:jc w:val="both"/>
        <w:ind w:right="80"/>
        <w:spacing w:after="0" w:line="279" w:lineRule="auto"/>
        <w:rPr>
          <w:sz w:val="20"/>
          <w:szCs w:val="20"/>
          <w:color w:val="auto"/>
        </w:rPr>
      </w:pPr>
      <w:r>
        <w:rPr>
          <w:rFonts w:ascii="Arial" w:cs="Arial" w:eastAsia="Arial" w:hAnsi="Arial"/>
          <w:sz w:val="17"/>
          <w:szCs w:val="17"/>
          <w:color w:val="auto"/>
        </w:rPr>
        <w:t>than if we ourselves were to market and sell any products that we develop. In addition, we may not be successful in entering into arrangements with third parties to market and sell our product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 candidates.</w:t>
      </w:r>
    </w:p>
    <w:p>
      <w:pPr>
        <w:spacing w:after="0" w:line="27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our product candidates obtain marketing approval.</w:t>
      </w:r>
    </w:p>
    <w:p>
      <w:pPr>
        <w:spacing w:after="0" w:line="166"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79"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ind w:right="40"/>
        <w:spacing w:after="0" w:line="277" w:lineRule="auto"/>
        <w:rPr>
          <w:sz w:val="20"/>
          <w:szCs w:val="20"/>
          <w:color w:val="auto"/>
        </w:rPr>
      </w:pPr>
      <w:r>
        <w:rPr>
          <w:rFonts w:ascii="Arial" w:cs="Arial" w:eastAsia="Arial" w:hAnsi="Arial"/>
          <w:sz w:val="18"/>
          <w:szCs w:val="18"/>
          <w:color w:val="auto"/>
        </w:rPr>
        <w:t>develop could have a material adverse effect on our operating results, our ability to raise capital needed to commercialize products and our overall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ind w:right="160" w:firstLine="589"/>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41" w:lineRule="exact"/>
        <w:rPr>
          <w:sz w:val="20"/>
          <w:szCs w:val="20"/>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withdrawal of marketing approval, recall, restriction on the approval or a “black box” warning or contraindication for an approved drug;</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product candidates. Insurance coverage is increasingly expensive. We may not be able to maintain or increase our insurance coverage at a reasonable cost or in an amount adequate to satisfy any liability that may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current product candidates and any future product candidates that we may develop, or if the scope of the patent protection obtained is not sufficiently broad, our competitors and other third parties could develop and commercialize technology and product candidates similar or identical to ours, and our ability to successfully commercialize our technology and product candidates may be impaired, and we may not be able to compete effectively in our market.</w:t>
      </w:r>
    </w:p>
    <w:p>
      <w:pPr>
        <w:spacing w:after="0" w:line="63"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Our commercial success depends, in large part, on our ability to obtain and maintain patent and other intellectual property and proprietary protection in the United States and other countries with respect to our product candidates and proprietary technology. We seek to protect our proprietary position by filing patent applications in the United States and abroad related to our novel technologies and product candidates. However, the portfolio covering our product candidates is at an early stage and comprised only of patent applications and we do not currently own or license any issued patents covering our product candidates. If we are unable to obtain or maintain patent protection with respect to our proprietary product candidates and technology or do not otherwise adequately protect our intellectual property, competitors and other third parties may be able to use our product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product candidates in the United States or in other foreign countries. Our patent applications cannot be enforced against third parties practicing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right="100"/>
        <w:spacing w:after="0" w:line="259" w:lineRule="auto"/>
        <w:rPr>
          <w:sz w:val="20"/>
          <w:szCs w:val="20"/>
          <w:color w:val="auto"/>
        </w:rPr>
      </w:pPr>
      <w:r>
        <w:rPr>
          <w:rFonts w:ascii="Arial" w:cs="Arial" w:eastAsia="Arial" w:hAnsi="Arial"/>
          <w:sz w:val="18"/>
          <w:szCs w:val="18"/>
          <w:color w:val="auto"/>
        </w:rPr>
        <w:t>technology claimed in such applications unless, and until, a patent issues from such applications, and then only to the extent the issued claims cover the technology. If the patent applications we hold with respect to our development programs and product candidates fail to issue, if their breadth or strength of protection is threatened, or if they fail to provide meaningful exclusivity for our current and future product candidates, it could have a material adverse effect on our ability to commercialize our product candidates and our business.</w:t>
      </w:r>
    </w:p>
    <w:p>
      <w:pPr>
        <w:spacing w:after="0" w:line="187"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To protect our proprietary positions, we file patent applications in the United States and other countries related to our novel technologies and product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Any of these outcomes could impair our ability to prevent competition from third parties.</w:t>
      </w:r>
    </w:p>
    <w:p>
      <w:pPr>
        <w:spacing w:after="0" w:line="179"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whether owned or in-licensed, are highly uncertain.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(USPTO), the laws and regulations governing patents could change in unpredictable ways that could weaken our ability to obtain patents or to enforce any patents that we might obtain in the future.</w:t>
      </w:r>
    </w:p>
    <w:p>
      <w:pPr>
        <w:spacing w:after="0" w:line="168"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 xml:space="preserve">We may not be aware of all third-party intellectual property rights potentially relating to our current and future product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product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preissuance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other post-grant proceedings, in the United States or elsewhere, challenging our or our licensors’ patent rights or the patent rights of others. An adverse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spacing w:after="0" w:line="269" w:lineRule="auto"/>
        <w:rPr>
          <w:sz w:val="20"/>
          <w:szCs w:val="20"/>
          <w:color w:val="auto"/>
        </w:rPr>
      </w:pPr>
      <w:r>
        <w:rPr>
          <w:rFonts w:ascii="Arial" w:cs="Arial" w:eastAsia="Arial" w:hAnsi="Arial"/>
          <w:sz w:val="17"/>
          <w:szCs w:val="17"/>
          <w:color w:val="auto"/>
        </w:rPr>
        <w:t>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products without infringing third-party patent rights, which could significantly harm our business and results of operations.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exclusivity, freedom to operate,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proceedings also may result in substantial cost and require significant time from our scientists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product candidates.</w:t>
      </w:r>
    </w:p>
    <w:p>
      <w:pPr>
        <w:spacing w:after="0" w:line="182"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product candidates could be negatively affected, which could have a material adverse effect on our business, financial condition, results of operations and prospects.</w:t>
      </w:r>
    </w:p>
    <w:p>
      <w:pPr>
        <w:spacing w:after="0" w:line="18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includes a number of other significant changes to U.S. patent law, including provisions that affect the way patent applications are prosecuted and may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right="80" w:firstLine="589"/>
        <w:spacing w:after="0" w:line="293" w:lineRule="auto"/>
        <w:rPr>
          <w:sz w:val="20"/>
          <w:szCs w:val="20"/>
          <w:color w:val="auto"/>
        </w:rPr>
      </w:pPr>
      <w:r>
        <w:rPr>
          <w:rFonts w:ascii="Arial" w:cs="Arial" w:eastAsia="Arial" w:hAnsi="Arial"/>
          <w:sz w:val="16"/>
          <w:szCs w:val="16"/>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27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Even if we are able to obtain patent protection for our product candidates, the life of such protection, if any, is limited, and third parties could develop and commercialize products and technologies similar or identical to ours and compete directly against us after the expiration of our patent rights, if any, and our ability to successfully commercialize any product or technology would be materially adversely affected.</w:t>
      </w:r>
    </w:p>
    <w:p>
      <w:pPr>
        <w:spacing w:after="0" w:line="41"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19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28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of our product candidates. It may be necessary for us to use the patented or proprietary technology of a third party to commercialize our own technology or product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57"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we may seek to acquire.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right="2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2"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Our commercial success depends, in part, upon our ability, and the ability of our collaborators to develop, manufacture, market and sell our product candidates and future product candidates and use our proprietary technologies without infringing, misappropriating or otherwise violating the intellectual property and other proprietary rights of third parties.</w:t>
      </w:r>
    </w:p>
    <w:p>
      <w:pPr>
        <w:spacing w:after="0" w:line="184"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 xml:space="preserve">Numerous third-party U.S. and non-U.S. issued patents exist in the area of biotechnology, including in the area of CTMs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product candidates, future product candidates and technology, including interference, derivation,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product candidates or the use of our technologies infringe patent claims or other intellectual property rights held by them or that we are employing their proprietary technology without authorization.</w:t>
      </w:r>
    </w:p>
    <w:p>
      <w:pPr>
        <w:spacing w:after="0" w:line="168"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As we continue to develop and, if approved, commercialize our current and future product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product candidates. For example, we are aware of a patent owned by a third party with a claim that covers many potential CTMs. This patent may be alleged to cover one or more of our CTM product candidates, including our NX-2127 product candidate. While we believe that we have valid defenses against any assertion of such patent against us, such defenses may be unsuccessful. If we are unsuccessful and any of our CTM product candidates is found to infringe this patent, we could be required to obtain a license to such patent or forced to permanently cease developing, manufacturing, marketing and commercializing the infringing CTM product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product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174"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Moreover, as the biotechnology and pharmaceutical industries expand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product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78"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7" w:name="page68"/>
    <w:bookmarkEnd w:id="67"/>
    <w:p>
      <w:pPr>
        <w:ind w:right="20"/>
        <w:spacing w:after="0" w:line="287" w:lineRule="auto"/>
        <w:rPr>
          <w:sz w:val="20"/>
          <w:szCs w:val="20"/>
          <w:color w:val="auto"/>
        </w:rPr>
      </w:pPr>
      <w:r>
        <w:rPr>
          <w:rFonts w:ascii="Arial" w:cs="Arial" w:eastAsia="Arial" w:hAnsi="Arial"/>
          <w:sz w:val="16"/>
          <w:szCs w:val="16"/>
          <w:color w:val="auto"/>
        </w:rPr>
        <w:t>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commercializing the infringing technology or product candidate. In addition, we could be found liable for monetary damages, which could be significant, including treble damages and attorneys’ fees if we are found to have willfully infringed a patent or other intellectual property right. A finding of infringement could prevent us from commercializing our product candidates or future product candidates or force us to cease some of our business operations, which could materially harm our business. Alternatively, we may need to redesign our infringing products, which may be impossible or require substantial time and monetary expenditure.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17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product candidates or future products. If a patent holder believes the manufacture, use, sale, offer for sale or importation of one of our product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172"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product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16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future product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product candidates or technology did not infringe any such claims.</w:t>
      </w:r>
    </w:p>
    <w:p>
      <w:pPr>
        <w:spacing w:after="0" w:line="195"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8" w:name="page69"/>
    <w:bookmarkEnd w:id="68"/>
    <w:p>
      <w:pPr>
        <w:ind w:right="40"/>
        <w:spacing w:after="0" w:line="269" w:lineRule="auto"/>
        <w:rPr>
          <w:sz w:val="20"/>
          <w:szCs w:val="20"/>
          <w:color w:val="auto"/>
        </w:rPr>
      </w:pPr>
      <w:r>
        <w:rPr>
          <w:rFonts w:ascii="Arial" w:cs="Arial" w:eastAsia="Arial" w:hAnsi="Arial"/>
          <w:sz w:val="17"/>
          <w:szCs w:val="17"/>
          <w:color w:val="auto"/>
        </w:rPr>
        <w:t>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development efforts, adversely affect our ability to raise additional funds, and could limit our ability to continue our operations. Any of the foregoing could have a material adverse effect on our business.</w:t>
      </w:r>
    </w:p>
    <w:p>
      <w:pPr>
        <w:spacing w:after="0" w:line="293"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1" w:lineRule="exact"/>
        <w:rPr>
          <w:sz w:val="20"/>
          <w:szCs w:val="20"/>
          <w:color w:val="auto"/>
        </w:rPr>
      </w:pPr>
    </w:p>
    <w:p>
      <w:pPr>
        <w:ind w:right="60" w:firstLine="589"/>
        <w:spacing w:after="0" w:line="286" w:lineRule="auto"/>
        <w:rPr>
          <w:sz w:val="20"/>
          <w:szCs w:val="20"/>
          <w:color w:val="auto"/>
        </w:rPr>
      </w:pPr>
      <w:r>
        <w:rPr>
          <w:rFonts w:ascii="Arial" w:cs="Arial" w:eastAsia="Arial" w:hAnsi="Arial"/>
          <w:sz w:val="16"/>
          <w:szCs w:val="16"/>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use the proprietary information or know-how of others in their work for us, we may be subject to claims that these individuals or we have inadvertently or otherwise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174"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product candidates. Such challenges may also result in our inability to develop, manufacture or commercialize our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product candidates. Any of the foregoing could have a material adverse effect on our business, financial condition, results of operations and prospects.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5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62"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product candidates. An adverse result in any litigation or proceeding involving our patents or patent applications may put one or more of our patents at risk of being invalidated, held unenforceable or interpreted narrowly.</w:t>
      </w:r>
    </w:p>
    <w:p>
      <w:pPr>
        <w:spacing w:after="0" w:line="174"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product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0" w:name="page71"/>
    <w:bookmarkEnd w:id="70"/>
    <w:p>
      <w:pPr>
        <w:ind w:firstLine="58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jc w:val="both"/>
        <w:ind w:right="100" w:firstLine="589"/>
        <w:spacing w:after="0" w:line="301"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26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governmental require compliance with a number of procedural, documentary, fee payment and other similar requirements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As a result, we could lose our trade secrets and third parties could use our trade secrets to compete with our product candidates and technology.</w:t>
      </w:r>
    </w:p>
    <w:p>
      <w:pPr>
        <w:spacing w:after="0" w:line="182"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120"/>
        <w:spacing w:after="0" w:line="277" w:lineRule="auto"/>
        <w:rPr>
          <w:sz w:val="20"/>
          <w:szCs w:val="20"/>
          <w:color w:val="auto"/>
        </w:rPr>
      </w:pPr>
      <w:r>
        <w:rPr>
          <w:rFonts w:ascii="Arial" w:cs="Arial" w:eastAsia="Arial" w:hAnsi="Arial"/>
          <w:sz w:val="18"/>
          <w:szCs w:val="18"/>
          <w:color w:val="auto"/>
        </w:rPr>
        <w:t>electronic security of our information technology systems; however, such systems and security measures may be breached, and we may not have adequate remedies for any breach.</w:t>
      </w:r>
    </w:p>
    <w:p>
      <w:pPr>
        <w:spacing w:after="0" w:line="170"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160" w:right="24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own or license now or in the future;</w:t>
      </w:r>
    </w:p>
    <w:p>
      <w:pPr>
        <w:spacing w:after="0" w:line="62"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62"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is possible that our pending owned patent applications or those that we may own or license in the future will not lead to issued patents;</w:t>
      </w:r>
    </w:p>
    <w:p>
      <w:pPr>
        <w:spacing w:after="0" w:line="140" w:lineRule="exact"/>
        <w:rPr>
          <w:rFonts w:ascii="Arial" w:cs="Arial" w:eastAsia="Arial" w:hAnsi="Arial"/>
          <w:sz w:val="16"/>
          <w:szCs w:val="16"/>
          <w:color w:val="auto"/>
        </w:rPr>
      </w:pPr>
    </w:p>
    <w:p>
      <w:pPr>
        <w:ind w:left="1160" w:right="2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1160" w:right="560" w:hanging="572"/>
        <w:spacing w:after="0" w:line="308" w:lineRule="auto"/>
        <w:tabs>
          <w:tab w:leader="none" w:pos="11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of the FDA is lengthy, time-consuming and inherently unpredictable, and if we are ultimately unable to obtain marketing approval for our product candidates, our business will be substantially harmed.</w:t>
      </w:r>
    </w:p>
    <w:p>
      <w:pPr>
        <w:spacing w:after="0" w:line="62"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will ever obtain marketing approval.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2" w:name="page73"/>
    <w:bookmarkEnd w:id="72"/>
    <w:p>
      <w:pPr>
        <w:ind w:left="600"/>
        <w:spacing w:after="0"/>
        <w:rPr>
          <w:sz w:val="20"/>
          <w:szCs w:val="20"/>
          <w:color w:val="auto"/>
        </w:rPr>
      </w:pPr>
      <w:r>
        <w:rPr>
          <w:rFonts w:ascii="Arial" w:cs="Arial" w:eastAsia="Arial" w:hAnsi="Arial"/>
          <w:sz w:val="18"/>
          <w:szCs w:val="18"/>
          <w:color w:val="auto"/>
        </w:rPr>
        <w:t>Our product candidates could be delayed or fail to receive marketing approval for many reasons, including the following:</w:t>
      </w:r>
    </w:p>
    <w:p>
      <w:pPr>
        <w:spacing w:after="0" w:line="117" w:lineRule="exact"/>
        <w:rPr>
          <w:sz w:val="20"/>
          <w:szCs w:val="20"/>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may disagree with the design or implementation of our planned clinical trials;</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data collected from clinical trials of our product candidates may not be sufficient to support the submission of a NDA to the FDA or other submissions necessary to obtain marketing approval in the United States;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that a product candidate is safe and effective for its proposed indication;</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for approval;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approval policies or regulations of the FDA may significantly change in a manner rendering our clinical data insufficient for approval.</w:t>
      </w:r>
    </w:p>
    <w:p>
      <w:pPr>
        <w:spacing w:after="0" w:line="248"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financial condition and prospects. The FDA has substantial discretion in the approval process, and in determining when or whether regulatory approval will be obtained for any of our product candidates. Even if we believe the data collected from clinical trials of our product candidates are promising, such data may not be sufficient to support approval by the FDA.</w:t>
      </w:r>
    </w:p>
    <w:p>
      <w:pPr>
        <w:spacing w:after="0" w:line="188"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or they may impose significant limitations in the form of narrow indications, warnings or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as a company, do not have experience in filing for and obtaining regulatory approval to initiate a clinical trial or in manufacturing or in quality assurance in order to market a new drug in the United States or in any other jurisdiction.</w:t>
      </w:r>
    </w:p>
    <w:p>
      <w:pPr>
        <w:spacing w:after="0" w:line="62"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As a company, we do not have experience in filing for or obtaining regulatory approval to initiate clinical trials or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and to obtain marketing approval for our product candidates. If we are unable to obtain regulatory and marketing approval for our product candidates or experience significant delays in our efforts to do so, our business could be substantially harmed.</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 and may limit our ability to generate revenue from product sales.</w:t>
      </w:r>
    </w:p>
    <w:p>
      <w:pPr>
        <w:spacing w:after="0" w:line="62"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To market and sell our product candidates in jurisdictions outside the United States, we must obtain separate marketing approvals and comply with numerous and varying regulatory requirements. The approval procedure varies among countries and can involve additional testing. The time required to obtain approval may differ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73" w:name="page74"/>
    <w:bookmarkEnd w:id="73"/>
    <w:p>
      <w:pPr>
        <w:ind w:right="60"/>
        <w:spacing w:after="0" w:line="271" w:lineRule="auto"/>
        <w:rPr>
          <w:sz w:val="20"/>
          <w:szCs w:val="20"/>
          <w:color w:val="auto"/>
        </w:rPr>
      </w:pPr>
      <w:r>
        <w:rPr>
          <w:rFonts w:ascii="Arial" w:cs="Arial" w:eastAsia="Arial" w:hAnsi="Arial"/>
          <w:sz w:val="17"/>
          <w:szCs w:val="17"/>
          <w:color w:val="auto"/>
        </w:rPr>
        <w:t>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product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17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United Kingdom’s recent exit from the European Union (EU), commonly referred to as “Brexit,” continues to create political and economic uncertainty, particularly in the United Kingdom and the EU. Because a significant proportion of the regulatory framework in the United Kingdom is derived from EU directives and regulations, the withdrawal of the United Kingdom from the EU could materially impact the regulatory regime with respect to the approval of our product candidates in the United Kingdom or the EU.</w:t>
      </w:r>
    </w:p>
    <w:p>
      <w:pPr>
        <w:spacing w:after="0" w:line="187" w:lineRule="exact"/>
        <w:rPr>
          <w:sz w:val="20"/>
          <w:szCs w:val="20"/>
          <w:color w:val="auto"/>
        </w:rPr>
      </w:pPr>
    </w:p>
    <w:p>
      <w:pPr>
        <w:ind w:right="220" w:firstLine="589"/>
        <w:spacing w:after="0" w:line="301" w:lineRule="auto"/>
        <w:rPr>
          <w:sz w:val="20"/>
          <w:szCs w:val="20"/>
          <w:color w:val="auto"/>
        </w:rPr>
      </w:pPr>
      <w:r>
        <w:rPr>
          <w:rFonts w:ascii="Arial" w:cs="Arial" w:eastAsia="Arial" w:hAnsi="Arial"/>
          <w:sz w:val="16"/>
          <w:szCs w:val="16"/>
          <w:color w:val="auto"/>
        </w:rPr>
        <w:t>If we fail to comply with the regulatory requirements in international markets and thus receive applicable marketing approvals, our target market will be reduced,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65"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Even if we, or any collaborators, obtain marketing approvals for our product candidates, the terms of approvals and ongoing regulation of our products may limit how we, or they, manufacture and market our products, which could materially impair our ability to generate revenue.</w:t>
      </w:r>
    </w:p>
    <w:p>
      <w:pPr>
        <w:spacing w:after="0" w:line="16"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176"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to monitor and ensure compliance with cGMPs.</w:t>
      </w:r>
    </w:p>
    <w:p>
      <w:pPr>
        <w:spacing w:after="0" w:line="188"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Accordingly, assuming we, or any collaborators, receive marketing approval for one or more of our product candidates, we, any collaborators, and our respective third-party manufacturers will continue to expend time, money and effort in all areas of regulatory compliance, including manufacturing, production, product surveillance and quality control.</w:t>
      </w:r>
    </w:p>
    <w:p>
      <w:pPr>
        <w:spacing w:after="0" w:line="184"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jc w:val="both"/>
        <w:ind w:right="280"/>
        <w:spacing w:after="0" w:line="286" w:lineRule="auto"/>
        <w:rPr>
          <w:sz w:val="20"/>
          <w:szCs w:val="20"/>
          <w:color w:val="auto"/>
        </w:rPr>
      </w:pPr>
      <w:r>
        <w:rPr>
          <w:rFonts w:ascii="Arial" w:cs="Arial" w:eastAsia="Arial" w:hAnsi="Arial"/>
          <w:sz w:val="17"/>
          <w:szCs w:val="17"/>
          <w:b w:val="1"/>
          <w:bCs w:val="1"/>
          <w:i w:val="1"/>
          <w:iCs w:val="1"/>
          <w:color w:val="auto"/>
        </w:rPr>
        <w:t>Any product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5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Any product candidate for which we, or any collaborators, obtain marketing approval, as well as the manufacturing processes, post-approval clinical data, labeling, advertising and promotional activities for such product, will be subject to continual requirements of and review by the FDA, EMA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81"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66"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2" w:lineRule="exact"/>
        <w:rPr>
          <w:sz w:val="20"/>
          <w:szCs w:val="20"/>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Non-compliance with EU requirements regarding safety monitoring or pharmacovigilance, and with requirements related to the development of products for the pediatric population, also can result in significant financial penalties. Similarly, failure to comply with the EU’s requirements regarding the protection of personal information can lead to significant penalties and sanctions.</w:t>
      </w:r>
    </w:p>
    <w:p>
      <w:pPr>
        <w:spacing w:after="0" w:line="184"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w:t>
      </w:r>
    </w:p>
    <w:p>
      <w:pPr>
        <w:spacing w:after="0" w:line="28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41"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Our future arrangements with third-party payors, physicians, and other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Restrictions under applicable U.S. federal and state healthcare laws and regulations include the following:</w:t>
      </w:r>
    </w:p>
    <w:p>
      <w:pPr>
        <w:spacing w:after="0" w:line="117" w:lineRule="exact"/>
        <w:rPr>
          <w:sz w:val="20"/>
          <w:szCs w:val="20"/>
          <w:color w:val="auto"/>
        </w:rPr>
      </w:pPr>
    </w:p>
    <w:p>
      <w:pPr>
        <w:ind w:left="1160" w:right="20" w:hanging="572"/>
        <w:spacing w:after="0" w:line="259"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w:t>
      </w:r>
    </w:p>
    <w:p>
      <w:pPr>
        <w:spacing w:after="0" w:line="78" w:lineRule="exact"/>
        <w:rPr>
          <w:rFonts w:ascii="Arial" w:cs="Arial" w:eastAsia="Arial" w:hAnsi="Arial"/>
          <w:sz w:val="18"/>
          <w:szCs w:val="18"/>
          <w:color w:val="auto"/>
        </w:rPr>
      </w:pPr>
    </w:p>
    <w:p>
      <w:pPr>
        <w:ind w:left="1160" w:hanging="572"/>
        <w:spacing w:after="0" w:line="255"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may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84" w:lineRule="exact"/>
        <w:rPr>
          <w:rFonts w:ascii="Arial" w:cs="Arial" w:eastAsia="Arial" w:hAnsi="Arial"/>
          <w:sz w:val="18"/>
          <w:szCs w:val="18"/>
          <w:color w:val="auto"/>
        </w:rPr>
      </w:pPr>
    </w:p>
    <w:p>
      <w:pPr>
        <w:ind w:left="1160" w:right="120" w:hanging="572"/>
        <w:spacing w:after="0" w:line="259"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78" w:lineRule="exact"/>
        <w:rPr>
          <w:rFonts w:ascii="Arial" w:cs="Arial" w:eastAsia="Arial" w:hAnsi="Arial"/>
          <w:sz w:val="18"/>
          <w:szCs w:val="18"/>
          <w:color w:val="auto"/>
        </w:rPr>
      </w:pPr>
    </w:p>
    <w:p>
      <w:pPr>
        <w:jc w:val="both"/>
        <w:ind w:left="1160" w:right="200" w:hanging="572"/>
        <w:spacing w:after="0" w:line="263"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also imposes obligations, including mandatory contractual terms, on certain types of people and entities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Food, Drug, and Cosmetic Act which among other things, strictly regulates drug marketing, prohibits manufacturers from marketing such products for off-label use and regulates the distribution of samples;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6" w:name="page77"/>
    <w:bookmarkEnd w:id="76"/>
    <w:p>
      <w:pPr>
        <w:ind w:left="1160" w:right="80" w:hanging="572"/>
        <w:spacing w:after="0" w:line="263"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and state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75" w:lineRule="exact"/>
        <w:rPr>
          <w:rFonts w:ascii="Arial" w:cs="Arial" w:eastAsia="Arial" w:hAnsi="Arial"/>
          <w:sz w:val="18"/>
          <w:szCs w:val="18"/>
          <w:color w:val="auto"/>
        </w:rPr>
      </w:pPr>
    </w:p>
    <w:p>
      <w:pPr>
        <w:ind w:left="1160" w:right="100" w:hanging="572"/>
        <w:spacing w:after="0" w:line="296" w:lineRule="auto"/>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applicable manufacturers of covered drugs, devices, biologics, and medical supplies for which payment is available under Medicare, Medicaid or the Children’s Health Insurance Program, with specific exceptions, to report payments and other transfers of value to physicians, teaching hospitals, and, beginning in 2022, physician assistants, nurse practitioners, clinical nurse specialists, certified nurse anesthetists and certified nurse-midwives as well as certain ownership and investment interests held by physicians and their immediate families, which includes annual data collection and reporting obligations; and</w:t>
      </w:r>
    </w:p>
    <w:p>
      <w:pPr>
        <w:spacing w:after="0" w:line="53" w:lineRule="exact"/>
        <w:rPr>
          <w:rFonts w:ascii="Arial" w:cs="Arial" w:eastAsia="Arial" w:hAnsi="Arial"/>
          <w:sz w:val="16"/>
          <w:szCs w:val="16"/>
          <w:color w:val="auto"/>
        </w:rPr>
      </w:pPr>
    </w:p>
    <w:p>
      <w:pPr>
        <w:ind w:left="1160" w:right="360" w:hanging="572"/>
        <w:spacing w:after="0" w:line="263"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84"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relevant compliance guidance promulgated by the federal government. State laws also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2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62"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and the issuance of guidance. On January 30, 2017, former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indicated that the “two-for-one” provisions may apply not only to agency regulations, but also to significant agency guidance documents. It is difficult to predict how these requirements will be implemented, the extent to which they will impact the FDA’s ability to exercise its regulatory authority and the impact that the new Biden Administration could have on these requirements. If these executive actions impose constraints on FDA’s ability to engage in oversight and implementation activities in the normal course, our business may be negatively impacted.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77" w:name="page78"/>
    <w:bookmarkEnd w:id="77"/>
    <w:p>
      <w:pPr>
        <w:ind w:right="26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62"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92"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6"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To date, there have been several recent U.S. congressional inquiries and proposed and enacted state and federal legislation designed to, among other things, bring more transparency to drug pricing, review the relationship between pricing and manufacturer patient support programs, reduce the costs of drugs under Medicare and reform government program reimbursement methodologies for drug products. Any proposed measures will require authorization through additional legislation to become effective, and it is uncertain whether Congress or the new Biden Administration will seek new legislative and/or administrative measures to control drug costs.</w:t>
      </w:r>
    </w:p>
    <w:p>
      <w:pPr>
        <w:spacing w:after="0" w:line="188"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64"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of the United States tend to impose strict price controls, which may adversely affect our revenues from the sales of drugs, if any.</w:t>
      </w:r>
    </w:p>
    <w:p>
      <w:pPr>
        <w:spacing w:after="0" w:line="152" w:lineRule="exact"/>
        <w:rPr>
          <w:sz w:val="20"/>
          <w:szCs w:val="20"/>
          <w:color w:val="auto"/>
        </w:rPr>
      </w:pPr>
    </w:p>
    <w:p>
      <w:pPr>
        <w:ind w:right="400" w:firstLine="589"/>
        <w:spacing w:after="0" w:line="257" w:lineRule="auto"/>
        <w:rPr>
          <w:sz w:val="20"/>
          <w:szCs w:val="20"/>
          <w:color w:val="auto"/>
        </w:rPr>
      </w:pPr>
      <w:r>
        <w:rPr>
          <w:rFonts w:ascii="Arial" w:cs="Arial" w:eastAsia="Arial" w:hAnsi="Arial"/>
          <w:sz w:val="18"/>
          <w:szCs w:val="18"/>
          <w:color w:val="auto"/>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If reimbursement of our drugs is unavailable or limited in scope or amount, or if pricing is set at unsatisfactory levels, our business could be materially harmed.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Risks Related to Employees, Managing our Growth and Other Legal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outbreak of COVID-19 may adversely affect our business and the market price of our common stock.</w:t>
      </w:r>
    </w:p>
    <w:p>
      <w:pPr>
        <w:spacing w:after="0" w:line="117"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recent global pandemic of COVID-19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product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The COVID-19 outbreak and mitigation measures also may have an adverse impact on global economic conditions, which could adversely impact our business, financial condition or results of operations. Additionally, the COVID-19 outbreak has resulted in significant financial market volatility and uncertainty. A continuation or worsening of the levels of market disruption and volatility seen in the recent past as a result of the COVID-19 outbreak could have an adverse effect on our ability to access capital and on the market price of our common stock. It is currently not possible to predict how long the COVID-19 outbreak will last or the time that it will take for economic activity to return to prior levels. The extent to which the COVID-19 outbreak impacts our results will depend on future developments that are highly uncertain and cannot be predicted, including new information that may emerge concerning the severity of the virus and the actions taken to contain its impact. See also the section titled “— Risks Related to Dependence on Third Parties.”</w:t>
      </w:r>
    </w:p>
    <w:p>
      <w:pPr>
        <w:spacing w:after="0" w:line="2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62"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our Chief Scientific Officer, Gwenn Hansen, Ph.D. The loss of the services of Drs. Sands and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78"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that vest over time. The value to employees of stock options that vest over time will be significantly affected by movements in our stock price that are beyond our control and may at any time be insufficient to counteract offers from other companies.</w:t>
      </w:r>
    </w:p>
    <w:p>
      <w:pPr>
        <w:spacing w:after="0" w:line="171" w:lineRule="exact"/>
        <w:rPr>
          <w:sz w:val="20"/>
          <w:szCs w:val="20"/>
          <w:color w:val="auto"/>
        </w:rPr>
      </w:pPr>
    </w:p>
    <w:p>
      <w:pPr>
        <w:ind w:right="200" w:firstLine="589"/>
        <w:spacing w:after="0" w:line="291" w:lineRule="auto"/>
        <w:rPr>
          <w:sz w:val="20"/>
          <w:szCs w:val="20"/>
          <w:color w:val="auto"/>
        </w:rPr>
      </w:pPr>
      <w:r>
        <w:rPr>
          <w:rFonts w:ascii="Arial" w:cs="Arial" w:eastAsia="Arial" w:hAnsi="Arial"/>
          <w:sz w:val="16"/>
          <w:szCs w:val="16"/>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9" w:name="page80"/>
    <w:bookmarkEnd w:id="79"/>
    <w:p>
      <w:pPr>
        <w:ind w:right="20" w:firstLine="589"/>
        <w:spacing w:after="0" w:line="311" w:lineRule="auto"/>
        <w:rPr>
          <w:sz w:val="20"/>
          <w:szCs w:val="20"/>
          <w:color w:val="auto"/>
        </w:rPr>
      </w:pPr>
      <w:r>
        <w:rPr>
          <w:rFonts w:ascii="Arial" w:cs="Arial" w:eastAsia="Arial" w:hAnsi="Arial"/>
          <w:sz w:val="16"/>
          <w:szCs w:val="16"/>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our organization, and we may experience difficulties in managing this growth, which could disrupt our operations.</w:t>
      </w:r>
    </w:p>
    <w:p>
      <w:pPr>
        <w:spacing w:after="0" w:line="129"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As of November 30, 2020, we had 135 full-time employees. 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for NX-2127 December 2020 and received clearance by the FDA to initiate human clinical trials. We expect our four most advanced product candidates to enter clinical trials in 2021. As our product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29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38"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62" w:lineRule="exact"/>
        <w:rPr>
          <w:sz w:val="20"/>
          <w:szCs w:val="20"/>
          <w:color w:val="auto"/>
        </w:rPr>
      </w:pPr>
    </w:p>
    <w:p>
      <w:pPr>
        <w:ind w:left="1160" w:right="32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intentional, reckless or negligent conduct or disclosure to us of unauthorized activities that violate the regulations of the FDA or similar foreign regulatory authorities;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healthcare fraud and abuse in violation of U.S. and foreign laws and regulations;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violations of U.S. federal securities laws relating to trading in our common stock;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failures to report financial information or data accurately.</w:t>
      </w:r>
    </w:p>
    <w:p>
      <w:pPr>
        <w:spacing w:after="0" w:line="225"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diminished profits and future earnings, any of which could adversely affect our ability to operate our business or cause reputational harm.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ind w:right="140"/>
        <w:spacing w:after="0" w:line="301" w:lineRule="auto"/>
        <w:rPr>
          <w:sz w:val="20"/>
          <w:szCs w:val="20"/>
          <w:color w:val="auto"/>
        </w:rPr>
      </w:pPr>
      <w:r>
        <w:rPr>
          <w:rFonts w:ascii="Arial" w:cs="Arial" w:eastAsia="Arial" w:hAnsi="Arial"/>
          <w:sz w:val="16"/>
          <w:szCs w:val="16"/>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49"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192"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our system infrastructure, or that of our third-party vendors and other contractors and consultants or lead to data leakage.</w:t>
      </w:r>
    </w:p>
    <w:p>
      <w:pPr>
        <w:spacing w:after="0" w:line="177"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that access confidential information increases the risk of data security breaches, which could lead to the loss of confidential information or other intellectual property.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product candidates could be delayed. The costs to us to mitigate network security problems, bugs, viruses, worms, malicious software programs and security vulnerabilities could be material, and although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and cause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ind w:right="40"/>
        <w:spacing w:after="0" w:line="253" w:lineRule="auto"/>
        <w:rPr>
          <w:sz w:val="20"/>
          <w:szCs w:val="20"/>
          <w:color w:val="auto"/>
        </w:rPr>
      </w:pPr>
      <w:r>
        <w:rPr>
          <w:rFonts w:ascii="Arial" w:cs="Arial" w:eastAsia="Arial" w:hAnsi="Arial"/>
          <w:sz w:val="18"/>
          <w:szCs w:val="18"/>
          <w:color w:val="auto"/>
        </w:rPr>
        <w:t>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subject us to mandatory corrective action, and otherwise subject us to liability under laws and regulations that protect the privacy and security of personal information. For example, the California Consumer Privacy Act (the CCPA), provides for a private right of action for security breaches that is expected to increase security breach litigation that could lead to some form of remedy including regulatory scrutiny, fines, private right of action settlements, and other consequences. Such actions could result in significant legal and financial exposure and reputational damages that could have a material adverse effect on our business, results of operations, prospects and financial condition.</w:t>
      </w:r>
    </w:p>
    <w:p>
      <w:pPr>
        <w:spacing w:after="0" w:line="3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w:t>
      </w:r>
    </w:p>
    <w:p>
      <w:pPr>
        <w:spacing w:after="0" w:line="5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and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92"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Further, if we fail to comply with applicable privacy laws, including applicable HIPAA privacy and security standards, we could face civil and criminal penalties. The U.S. Department of Health and Human Services (HHS) has the discretion to impose penalties without attempting to first resolve violations.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82"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Data privacy remains an evolving landscape at both the domestic and international level, with new regulations coming into effect. For example, the CCPA, which came into effect on January 1, 2020, and became enforceable by the California Attorney General on July 1, 2020, along with related regulations which came into force on August 14, 2020. Additionally, although not effective until January 1, 2023, the California Privacy Rights Act (the CPRA), which expands upon the CCPA, was passed in the recent election on November 3, 2020. The CCPA gives (and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ind w:right="80"/>
        <w:spacing w:after="0" w:line="289" w:lineRule="auto"/>
        <w:rPr>
          <w:sz w:val="20"/>
          <w:szCs w:val="20"/>
          <w:color w:val="auto"/>
        </w:rPr>
      </w:pPr>
      <w:r>
        <w:rPr>
          <w:rFonts w:ascii="Arial" w:cs="Arial" w:eastAsia="Arial" w:hAnsi="Arial"/>
          <w:sz w:val="16"/>
          <w:szCs w:val="16"/>
          <w:color w:val="auto"/>
        </w:rPr>
        <w:t>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Additionally, the CCPA requires companies that process personal information of California residents to make disclosures to consumers about their data collection, use and sharing practices, allow consumers to opt out of certain data sharing with third parties and provide a private right of action for data breaches, as described above. Although the CCPA includes limited exceptions, including exceptions for personal health information collected by covered entities or business associates subject to HIPAA, among others, the CCPA may regulate or impact our processing of personal information depending on the context. Additionally, the CPRA expands on the requirements of the CCPA by granting California residents expanded privacy rights and additional requirements for businesses. The CCPA and CPRA may increase our compliance costs and potential liability, particularly in the event of a data breach, and could have a material adverse effect on our business, including how we use personal information, financial condition, results of operations or prospects.</w:t>
      </w:r>
    </w:p>
    <w:p>
      <w:pPr>
        <w:spacing w:after="0" w:line="166" w:lineRule="exact"/>
        <w:rPr>
          <w:sz w:val="20"/>
          <w:szCs w:val="20"/>
          <w:color w:val="auto"/>
        </w:rPr>
      </w:pPr>
    </w:p>
    <w:p>
      <w:pPr>
        <w:ind w:right="140" w:firstLine="589"/>
        <w:spacing w:after="0" w:line="270" w:lineRule="auto"/>
        <w:rPr>
          <w:sz w:val="20"/>
          <w:szCs w:val="20"/>
          <w:color w:val="auto"/>
        </w:rPr>
      </w:pPr>
      <w:r>
        <w:rPr>
          <w:rFonts w:ascii="Arial" w:cs="Arial" w:eastAsia="Arial" w:hAnsi="Arial"/>
          <w:sz w:val="17"/>
          <w:szCs w:val="17"/>
          <w:color w:val="auto"/>
        </w:rPr>
        <w:t>Additionally, the CCPA has prompted a number of proposals for new federal and state-level privacy legislation, such as in Nevada, Virginia, New Hampshire, Illinois and Nebraska. Such new privacy laws add additional complexity, requirements, restrictions and potential legal risk, require additional investment in resources for compliance programs, and could impact business strategies and the availability of previously useful data. The interplay of federal and state laws (e.g., in addition to California, Massachusetts and Nevada have adopted laws requiring the implementation of certain security measures to protect personal information, and all 50 states and the District of Columbia, Puerto Rico, the U.S. Virgin Islands and Guam have adopted breach notification laws) may be subject to varying interpretations by courts and government agencies, creating complex compliance issues for us and our customers and potentially exposing us to additional expense, adverse publicity and liability. Further, as regulatory focus on privacy, security and data use issues in the U.S. continues to increase and laws and regulations concerning the protection of personal information expand and become more complex, these potential risks to products and services could intensify.</w:t>
      </w:r>
    </w:p>
    <w:p>
      <w:pPr>
        <w:spacing w:after="0" w:line="181"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In addition, in May 2018, the General Data Protection Regulation (the GDPR) took effect in the European Economic Area (EEA). The GDPR governs the collection, use, disclosure, transfer or other processing of personal data of European persons, replacing data protection laws issued by each EU member state based on the Directive 95/46/EC (the Directive). The GDPR imposes additional compliance burdens, including by mandating burdensome documentation requirements and granting certain privacy rights to individuals to control how companies collect, use, disclose, retain and process information about them and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For example, on July 16, 2020, the Court of Justice of the EU (the Court of Justice) invalidated the European Union-United States (EU-U.S.) Privacy Shield on the grounds that the EU-U.S. Privacy Shield failed to offer adequate protections to EU personal information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made clear that reliance on Standard Contractual Clauses alone may not necessarily be sufficient in all circumstances.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Standard Contractual Clauses, for cross-border data transfers. To comply with this guidance, we may need to implement additional safeguards to further enhance the security of data transferred out of the EEA, which could increase our compliance costs, expose us to further regulatory scrutiny and liability, and adversely affect our business. Further, the European Commission published new versions of the Standard Contractual Clauses for comment. While the comment period ended in December 2020, the European Commission is expected to finalize and implement the new Standard Contractual Clauses in early 2021. Additionally, other countries (e.g., Australia and Japan) have adopted certain legal requirements for cross-border transfers of personal information. These obligations may be interpreted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ind w:right="100"/>
        <w:spacing w:after="0" w:line="259" w:lineRule="auto"/>
        <w:rPr>
          <w:sz w:val="20"/>
          <w:szCs w:val="20"/>
          <w:color w:val="auto"/>
        </w:rPr>
      </w:pPr>
      <w:r>
        <w:rPr>
          <w:rFonts w:ascii="Arial" w:cs="Arial" w:eastAsia="Arial" w:hAnsi="Arial"/>
          <w:sz w:val="18"/>
          <w:szCs w:val="18"/>
          <w:color w:val="auto"/>
        </w:rPr>
        <w:t>applied in a manner that is inconsistent from one jurisdiction to another and may conflict with other requirements or our practices. The GDPR imposes substantial fines for breaches and violations (up to the greater of €20 million or 4% of our global turnover). The GDPR allows data subjects and consumer associations to lodge complaints with supervisory authorities, seek judicial remedies and obtain compensation for damages resulting from violations of the GDPR.</w:t>
      </w:r>
    </w:p>
    <w:p>
      <w:pPr>
        <w:spacing w:after="0" w:line="18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Further, the United Kingdom enacted the Data Protection Act 2018 in May 2018 that supplements the GDPR and has publicly announced that it will continue to regulate the protection of personal data in the same way post-Brexit. In addition to the fines imposed by the GDPR, the Data Protection Act also imposes fines of up to £17 million or 4% of global turnover. Further, since the transition period for Brexit ended December 31, 2020, there remains some uncertainty regarding cross-border data transfers from the EEA to the UK. The EU is expected to either issue an adequacy decision for such transfers in early 2021, or an adequacy mechanism such as the Standard Contractual Clauses will be required for transfer of personal data from the EEA to the UK. Some countries also are considering or have passed legislation requiring local storage and processing of data, or similar requirements, which could increase the cost and complexity of delivering our products and services. If we are required to implement additional measures to transfer data from the EEA, this could increase our compliance costs, and could adversely affect our business, financial condition and results of operations.</w:t>
      </w:r>
    </w:p>
    <w:p>
      <w:pPr>
        <w:spacing w:after="0" w:line="165"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and adverse impact on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and changes in other tax laws could adversely affect us.</w:t>
      </w:r>
    </w:p>
    <w:p>
      <w:pPr>
        <w:spacing w:after="0" w:line="117"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In December 2017, U.S. federal tax legislation commonly referred to as the TCJA was signed into law, significantly reforming the Internal Revenue Code of 1986, as amended (the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171" w:lineRule="exact"/>
        <w:rPr>
          <w:sz w:val="20"/>
          <w:szCs w:val="20"/>
          <w:color w:val="auto"/>
        </w:rPr>
      </w:pPr>
    </w:p>
    <w:p>
      <w:pPr>
        <w:jc w:val="both"/>
        <w:ind w:right="400" w:firstLine="589"/>
        <w:spacing w:after="0" w:line="311" w:lineRule="auto"/>
        <w:rPr>
          <w:sz w:val="20"/>
          <w:szCs w:val="20"/>
          <w:color w:val="auto"/>
        </w:rPr>
      </w:pPr>
      <w:r>
        <w:rPr>
          <w:rFonts w:ascii="Arial" w:cs="Arial" w:eastAsia="Arial" w:hAnsi="Arial"/>
          <w:sz w:val="16"/>
          <w:szCs w:val="16"/>
          <w:color w:val="auto"/>
        </w:rPr>
        <w:t>In March 2020, U.S. federal tax legislation named the CARES Act, was signed into law. Such legislation modified the TCJA by, among other things, eliminating the limitation on the deduction of NOLs to 80% of current year taxable income for tax years beginning before January 1, 2021, and increasing the amount of interest expense that may be deducted from 30% to 50% of adjusted taxable income for tax years beginning in 2019 or 2020.</w:t>
      </w:r>
    </w:p>
    <w:p>
      <w:pPr>
        <w:spacing w:after="0" w:line="149"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The TCJA is a far-reaching and complex revision to the U.S. federal income tax laws with disparate and, in some cases, countervailing impacts on different categories of taxpayers and industries. The long-term impact of the TCJA, as modified by the CARES Act, on the overall economy, the industries in which we operate and our and our partners’ businesses still cannot be reliably predicted. There can be no assurance that the TCJA, as modified by the CARES Act, will not negatively impact our future operating results. The estimated impact of the TCJA, as modified by the CARES Act, is based on our management’s current knowledge and assumptions, following consultation with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ind w:right="620"/>
        <w:spacing w:after="0" w:line="277" w:lineRule="auto"/>
        <w:rPr>
          <w:sz w:val="20"/>
          <w:szCs w:val="20"/>
          <w:color w:val="auto"/>
        </w:rPr>
      </w:pPr>
      <w:r>
        <w:rPr>
          <w:rFonts w:ascii="Arial" w:cs="Arial" w:eastAsia="Arial" w:hAnsi="Arial"/>
          <w:sz w:val="18"/>
          <w:szCs w:val="18"/>
          <w:color w:val="auto"/>
        </w:rPr>
        <w:t>our tax advisors. Because of our valuation allowance in the United States, ongoing tax effects of the TCJA, as modified by the CARES Act, are not expected to materially change our effective tax rate in future periods.</w:t>
      </w:r>
    </w:p>
    <w:p>
      <w:pPr>
        <w:spacing w:after="0" w:line="170" w:lineRule="exact"/>
        <w:rPr>
          <w:sz w:val="20"/>
          <w:szCs w:val="20"/>
          <w:color w:val="auto"/>
        </w:rPr>
      </w:pPr>
    </w:p>
    <w:p>
      <w:pPr>
        <w:jc w:val="both"/>
        <w:ind w:right="80" w:firstLine="589"/>
        <w:spacing w:after="0" w:line="301" w:lineRule="auto"/>
        <w:rPr>
          <w:sz w:val="20"/>
          <w:szCs w:val="20"/>
          <w:color w:val="auto"/>
        </w:rPr>
      </w:pPr>
      <w:r>
        <w:rPr>
          <w:rFonts w:ascii="Arial" w:cs="Arial" w:eastAsia="Arial" w:hAnsi="Arial"/>
          <w:sz w:val="16"/>
          <w:szCs w:val="16"/>
          <w:color w:val="auto"/>
        </w:rPr>
        <w:t>In addition, new legislation or regulations that could affect our tax burden could be enacted by any governmental authority. We cannot predict the timing or extent of such tax-related developments that could negatively impact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subject to limitations.</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have incurred substantial losses during our history, do not expect to become profitable in the near future and may never achieve profitability. As of November 30, 2020, we had federal and state net operating loss (NOL) carryforwards of approximately $55.7 million and $153.3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182" w:lineRule="exact"/>
        <w:rPr>
          <w:sz w:val="20"/>
          <w:szCs w:val="20"/>
          <w:color w:val="auto"/>
        </w:rPr>
      </w:pPr>
    </w:p>
    <w:p>
      <w:pPr>
        <w:ind w:right="80" w:firstLine="589"/>
        <w:spacing w:after="0" w:line="289" w:lineRule="auto"/>
        <w:rPr>
          <w:sz w:val="20"/>
          <w:szCs w:val="20"/>
          <w:color w:val="auto"/>
        </w:rPr>
      </w:pPr>
      <w:r>
        <w:rPr>
          <w:rFonts w:ascii="Arial" w:cs="Arial" w:eastAsia="Arial" w:hAnsi="Arial"/>
          <w:sz w:val="16"/>
          <w:szCs w:val="16"/>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62"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70" w:lineRule="exact"/>
        <w:rPr>
          <w:sz w:val="20"/>
          <w:szCs w:val="20"/>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relationships with strategic partners as a result of product acquisitions or strategic positioning resulting from the acquisition;</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17" w:lineRule="exact"/>
        <w:rPr>
          <w:rFonts w:ascii="Arial" w:cs="Arial" w:eastAsia="Arial" w:hAnsi="Arial"/>
          <w:sz w:val="18"/>
          <w:szCs w:val="18"/>
          <w:color w:val="auto"/>
        </w:rPr>
      </w:pPr>
    </w:p>
    <w:p>
      <w:pPr>
        <w:ind w:left="1160" w:right="56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jc w:val="both"/>
        <w:ind w:right="20" w:firstLine="589"/>
        <w:spacing w:after="0" w:line="259"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w:t>
      </w:r>
    </w:p>
    <w:p>
      <w:pPr>
        <w:spacing w:after="0" w:line="187"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Additionally, we may not realize the expected value of out-licensing, joint ventures, spin outs or other strategic transactions. For example, in July 2020, we established DeCART, a wholly owned subsidiary, with an investment of $3.0 million and granted DeCART a license to three of our compounds, including NX-0255, for drug-enhanced isolation of T cells nonexclusively with respect to one CAR-T therapy target and exclusively with respect to three novel CAR-T therapy targets. Over time, we intend for DeCART to seek equity financing from third parties and to become an independent operating entity. However, we cannot assure you that DeCART will be able to obtain financing on attractive terms or at all. We may lose all or part of our investment in DeCART. Our license agreement to DeCART does not require DeCART to pay any milestone payments or royalties or other payments to us, and to the extent that DeCART is successful, we would benefit exclusively through our ownership of shares of DeCART’s capital stock. If DeCART raises additional funds through further issuances of equity or convertible debt securities, including to its service providers pursuant to its equity incentive plan, our ownership interest could be significantly diluted, and any new equity securities issued by DeCART may have rights, preferences, and privileges superior to ours. We cannot assure you that we will retain significant influence over the management of DeCART, and the directors or management of DeCART may make decisions or take actions that we disagree with. Conflicts of interest may arise from time to time in connection with this transaction, DeCART may not successfully develop CAR-T or any other therapies and we may not realize the expected value from this strategy.</w:t>
      </w:r>
    </w:p>
    <w:p>
      <w:pPr>
        <w:spacing w:after="0" w:line="2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7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Our operations are subject to anti-corruption laws, including the Foreign Corrupt Practices Act (the FCPA), the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86" w:name="page87"/>
    <w:bookmarkEnd w:id="86"/>
    <w:p>
      <w:pPr>
        <w:jc w:val="both"/>
        <w:ind w:firstLine="589"/>
        <w:spacing w:after="0" w:line="286" w:lineRule="auto"/>
        <w:rPr>
          <w:sz w:val="20"/>
          <w:szCs w:val="20"/>
          <w:color w:val="auto"/>
        </w:rPr>
      </w:pPr>
      <w:r>
        <w:rPr>
          <w:rFonts w:ascii="Arial" w:cs="Arial" w:eastAsia="Arial" w:hAnsi="Arial"/>
          <w:sz w:val="17"/>
          <w:szCs w:val="17"/>
          <w:color w:val="auto"/>
        </w:rPr>
        <w:t>We also are subject to other laws and regulations governing our international operations, including regulations administered by the governments of the United States, United Kingdom and authorities in the EU, including applicable export control regulations, economic sanctions on countries and persons, customs requirements and currency exchange regulations, which we collectively refer to as Trade Control Laws.</w:t>
      </w:r>
    </w:p>
    <w:p>
      <w:pPr>
        <w:spacing w:after="0" w:line="165"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2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6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29"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recent volatility associated with the COVID-19 outbreak has caused significant instability and disruptions in the capital and credit markets. A severe or prolonged economic downturn, such as the global financial crisis, could result in a variety of risks to our business, including a decrease in the demand for our product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7" w:name="page88"/>
    <w:bookmarkEnd w:id="87"/>
    <w:p>
      <w:pPr>
        <w:ind w:right="960"/>
        <w:spacing w:after="0" w:line="375" w:lineRule="auto"/>
        <w:rPr>
          <w:sz w:val="20"/>
          <w:szCs w:val="20"/>
          <w:color w:val="auto"/>
        </w:rPr>
      </w:pPr>
      <w:r>
        <w:rPr>
          <w:rFonts w:ascii="Arial" w:cs="Arial" w:eastAsia="Arial" w:hAnsi="Arial"/>
          <w:sz w:val="15"/>
          <w:szCs w:val="15"/>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1" w:lineRule="exact"/>
        <w:rPr>
          <w:sz w:val="20"/>
          <w:szCs w:val="20"/>
          <w:color w:val="auto"/>
        </w:rPr>
      </w:pPr>
    </w:p>
    <w:p>
      <w:pPr>
        <w:ind w:right="80" w:firstLine="589"/>
        <w:spacing w:after="0" w:line="285" w:lineRule="auto"/>
        <w:rPr>
          <w:sz w:val="20"/>
          <w:szCs w:val="20"/>
          <w:color w:val="auto"/>
        </w:rPr>
      </w:pPr>
      <w:r>
        <w:rPr>
          <w:rFonts w:ascii="Arial" w:cs="Arial" w:eastAsia="Arial" w:hAnsi="Arial"/>
          <w:sz w:val="16"/>
          <w:szCs w:val="16"/>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160" w:right="500" w:hanging="572"/>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product candidates, DELigase platform, DeTIL or future development programs;</w:t>
      </w:r>
    </w:p>
    <w:p>
      <w:pPr>
        <w:spacing w:after="0" w:line="62" w:lineRule="exact"/>
        <w:rPr>
          <w:rFonts w:ascii="Arial" w:cs="Arial" w:eastAsia="Arial" w:hAnsi="Arial"/>
          <w:sz w:val="18"/>
          <w:szCs w:val="18"/>
          <w:color w:val="auto"/>
        </w:rPr>
      </w:pPr>
    </w:p>
    <w:p>
      <w:pPr>
        <w:ind w:left="1160" w:right="420" w:hanging="572"/>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preclinical and clinical trials, or the addition or termination of clinical trials or funding support by us or by existing or future collaborators or licensing partners;</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ind w:right="200" w:firstLine="589"/>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17" w:lineRule="exact"/>
        <w:rPr>
          <w:sz w:val="20"/>
          <w:szCs w:val="20"/>
          <w:color w:val="auto"/>
        </w:rPr>
      </w:pPr>
    </w:p>
    <w:p>
      <w:pPr>
        <w:jc w:val="both"/>
        <w:ind w:right="220" w:firstLine="589"/>
        <w:spacing w:after="0" w:line="286"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57" w:lineRule="exact"/>
        <w:rPr>
          <w:sz w:val="20"/>
          <w:szCs w:val="20"/>
          <w:color w:val="auto"/>
        </w:rPr>
      </w:pPr>
    </w:p>
    <w:p>
      <w:pPr>
        <w:ind w:left="1160" w:hanging="572"/>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results of preclinical studies and clinical trials of our product candidates, or those of our competitors or our existing or future collaborators;</w:t>
      </w:r>
    </w:p>
    <w:p>
      <w:pPr>
        <w:spacing w:after="0" w:line="140" w:lineRule="exact"/>
        <w:rPr>
          <w:rFonts w:ascii="Arial" w:cs="Arial" w:eastAsia="Arial" w:hAnsi="Arial"/>
          <w:sz w:val="16"/>
          <w:szCs w:val="16"/>
          <w:color w:val="auto"/>
        </w:rPr>
      </w:pPr>
    </w:p>
    <w:p>
      <w:pPr>
        <w:ind w:left="1160" w:right="52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160" w:right="92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collaboration partners, or our competitors, and the timing of these introductions or announcements;</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in those of companies that are perceived to be similar to us;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concerning our current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160" w:right="4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 candidates and products;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provide to the market;</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9" w:name="page90"/>
    <w:bookmarkEnd w:id="89"/>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100" w:firstLine="589"/>
        <w:spacing w:after="0" w:line="253" w:lineRule="auto"/>
        <w:rPr>
          <w:sz w:val="20"/>
          <w:szCs w:val="20"/>
          <w:color w:val="auto"/>
        </w:rPr>
      </w:pPr>
      <w:r>
        <w:rPr>
          <w:rFonts w:ascii="Arial" w:cs="Arial" w:eastAsia="Arial" w:hAnsi="Arial"/>
          <w:sz w:val="18"/>
          <w:szCs w:val="18"/>
          <w:color w:val="auto"/>
        </w:rPr>
        <w:t>Based on the beneficial ownership of our common stock as of November 30, 2020, our executive officers, directors and affiliates beneficially owned approximately 55.2% of our outstanding voting stock. As a result, these stockholders, if acting together, could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17"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If our stockholders sell, or the market perceives that our stockholders intend to sell, substantial amounts of our common stock in the public market before or after the lock-up and other legal restrictions on resale lapse in connection with our initial public offering (IPO), the market price of our common stock could decline significantly. Each of our officers, directors and substantially all of our stockholders entered into lock-up agreements with the underwriters in connection with our IPO that restricted their ability to sell or transfer their shares. These lock-up agreements pertaining to our IPO expired on January 19, 2021. Due to the expiration of the lock-up agreements, a substantial number of shares of our common stock recently became eligible for sale in the public market.</w:t>
      </w:r>
    </w:p>
    <w:p>
      <w:pPr>
        <w:spacing w:after="0" w:line="164" w:lineRule="exact"/>
        <w:rPr>
          <w:sz w:val="20"/>
          <w:szCs w:val="20"/>
          <w:color w:val="auto"/>
        </w:rPr>
      </w:pPr>
    </w:p>
    <w:p>
      <w:pPr>
        <w:ind w:right="160" w:firstLine="589"/>
        <w:spacing w:after="0" w:line="286"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165"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90" w:name="page91"/>
    <w:bookmarkEnd w:id="90"/>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sale and issuance of equity or of debt securities that are convertible into equity will dilute our share capital.</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We may choose to raise additional capital in the future, depending on market conditions, strategic considerations and operational requirements.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300"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6"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We are an “emerging growth company” (EGC) as defined in the JOBS Act. For as long as we continue to be an EGC, we may take advantage of exemptions from various reporting requirements applicable to other public companies that are not EGCs, including (i) not being required to comply with the auditor attestation requirements of Section 404 of the Sarbanes-Oxley Act of 2002 (the Sarbanes-Oxley Act), (ii) reduced disclosure obligations regarding executive compensation in our periodic reports, registration statements and proxy statements, and (iii) exemptions from the requirements of holding nonbinding advisory stockholder votes on executive compensation and stockholder approval of any golden parachute payments not approved previously. We could be an EGC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prior May 31, or if we have total annual gross revenue of $1.07 billion or more during any fiscal year before that time, in which cases we no longer would be an EGC as of the following November 30, or if we issue more than $1.0 billion in non-convertible debt during the prior three-year period before that time, in which case we no longer would be an EGC immediately. Even after we no longer qualify as an EGC, we still may qualify as a “smaller reporting company,” as such term is defined in Rule 12b-2 under the Exchange Act of 1934, as amended (the Exchange Act),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less-active trading market for our common stock and our share price may be more volatile.</w:t>
      </w:r>
    </w:p>
    <w:p>
      <w:pPr>
        <w:spacing w:after="0" w:line="16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Under the JOBS Act, EGCs also may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of 1933, as amended (the Securities Act), upon issuance of a new or revised accounting standard that applies to our financial statements and that has a different effective date for public and private companies, we will disclose the date on which adoption is required for non-EGCs and the date on which we will adopt the recently issued accounting standard.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1" w:name="page92"/>
    <w:bookmarkEnd w:id="91"/>
    <w:p>
      <w:pPr>
        <w:ind w:right="20" w:firstLine="589"/>
        <w:spacing w:after="0" w:line="254" w:lineRule="auto"/>
        <w:rPr>
          <w:sz w:val="20"/>
          <w:szCs w:val="20"/>
          <w:color w:val="auto"/>
        </w:rPr>
      </w:pPr>
      <w:r>
        <w:rPr>
          <w:rFonts w:ascii="Arial" w:cs="Arial" w:eastAsia="Arial" w:hAnsi="Arial"/>
          <w:sz w:val="18"/>
          <w:szCs w:val="18"/>
          <w:color w:val="auto"/>
        </w:rPr>
        <w:t>We also are a “smaller reporting company,” and may continue to be a smaller reporting company if either (i) the market value of our stock held by non-affiliates is less than $250 million as of the prior May 31, or (ii) our annual revenue is less than $100 million during the most recently completed fiscal year and the market value of our stock held by non-affiliates is less than $700 million as of the prior May 31.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303"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76" w:lineRule="exact"/>
        <w:rPr>
          <w:sz w:val="20"/>
          <w:szCs w:val="20"/>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 only our board of directors to establish the number of directors and fill vacancies on our board;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 and only with the approval of two-thirds of our stockholders;</w:t>
      </w:r>
    </w:p>
    <w:p>
      <w:pPr>
        <w:spacing w:after="0" w:line="117" w:lineRule="exact"/>
        <w:rPr>
          <w:rFonts w:ascii="Arial" w:cs="Arial" w:eastAsia="Arial" w:hAnsi="Arial"/>
          <w:sz w:val="18"/>
          <w:szCs w:val="18"/>
          <w:color w:val="auto"/>
        </w:rPr>
      </w:pPr>
    </w:p>
    <w:p>
      <w:pPr>
        <w:ind w:left="1160" w:right="560" w:hanging="572"/>
        <w:spacing w:after="0" w:line="342" w:lineRule="auto"/>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 unless such amendments are approved by two-thirds of our board of directors, in which case stockholders can approve by a simple majority;</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1160" w:right="64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 addition,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292"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Our restated certificate of incorporation and our restated bylaws contain exclusive forum provisions for certain claims, which could limit our stockholders’ ability to obtain a favorable judicial forum for disputes with us or our directors, officers or employees.</w:t>
      </w:r>
    </w:p>
    <w:p>
      <w:pPr>
        <w:spacing w:after="0" w:line="16"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w:t>
      </w:r>
    </w:p>
    <w:p>
      <w:pPr>
        <w:spacing w:after="0" w:line="18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Moreover, Section 22 of the Securities Act creates concurrent jurisdiction for federal and state courts over all claims brought to enforce any duty or liability created by the Securities Act or the rules and regulations thereunder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2" w:name="page93"/>
    <w:bookmarkEnd w:id="92"/>
    <w:p>
      <w:pPr>
        <w:jc w:val="both"/>
        <w:ind w:right="60"/>
        <w:spacing w:after="0" w:line="287" w:lineRule="auto"/>
        <w:rPr>
          <w:sz w:val="20"/>
          <w:szCs w:val="20"/>
          <w:color w:val="auto"/>
        </w:rPr>
      </w:pPr>
      <w:r>
        <w:rPr>
          <w:rFonts w:ascii="Arial" w:cs="Arial" w:eastAsia="Arial" w:hAnsi="Arial"/>
          <w:sz w:val="16"/>
          <w:szCs w:val="16"/>
          <w:color w:val="auto"/>
        </w:rPr>
        <w:t>and our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w:t>
      </w:r>
    </w:p>
    <w:p>
      <w:pPr>
        <w:spacing w:after="0" w:line="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98"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restated bylaws to be inapplicable or unenforceable in an action, we may incur additional costs associated with resolving such action in other jurisdictions, which could harm our business, operating results and financial condition.</w:t>
      </w:r>
    </w:p>
    <w:p>
      <w:pPr>
        <w:spacing w:after="0" w:line="2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As a public company, and particularly after we no longer are an EGC, we will incur significant legal, accounting and other expenses that we did not incur as a private company. The Sarbanes-Oxley Act, the Dodd-Frank Wall Street Reform and Consumer Protection Act, the listing requirements of the Nasdaq Global Market (Nasdaq) and other applicable securities rules and regulations impose various requirements on public companies, including establishment and maintenance of effective disclosure and financial controls and corporate governance practices. Our management and other personnel are required to devote a substantial amount of time to these compliance initiatives. Moreover, we expect these rules and regulations to substantially increase our legal and financial compliance costs and to make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6"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are not currently required to comply with the SEC’s rules that implement Section 404 of the Sarbanes-Oxley Act, and therefore are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process is both costly and challenging. In this regard, we will need to continue to dedicate internal resources, potentially engage outside consultants and adopt a detailed work plan to assess and document the adequacy of internal control over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ind w:right="60"/>
        <w:spacing w:after="0" w:line="311" w:lineRule="auto"/>
        <w:rPr>
          <w:sz w:val="20"/>
          <w:szCs w:val="20"/>
          <w:color w:val="auto"/>
        </w:rPr>
      </w:pPr>
      <w:r>
        <w:rPr>
          <w:rFonts w:ascii="Arial" w:cs="Arial" w:eastAsia="Arial" w:hAnsi="Arial"/>
          <w:sz w:val="16"/>
          <w:szCs w:val="16"/>
          <w:color w:val="auto"/>
        </w:rPr>
        <w:t>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149"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In the course of preparing our financial statements for fiscal years 2018 and 2019, we identified a material weakness in our internal control over financial reporting. Specifically, we did not design and maintain formally documented controls and accounting policies and procedures, including information technology general controls, segregation of duties over the review and approval of account reconciliations and manual journal entries, and the period-end financial reporting process. The existing material weakness resulted in a revision to the basic and diluted weighted-average number of shares outstanding and basic and diluted net loss per share calculations for the three- and nine-month periods ended August 31, 2020. The material weakness has not been remediated as of November 30, 2020 and could result in a misstatement of substantially all of our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To address our material weakness, we have implemented new financial systems and controls. We intend to continue to take steps to remediate the material weakness through formalizing documentation of policies and procedures and further evolving our accounting processes.</w:t>
      </w:r>
    </w:p>
    <w:p>
      <w:pPr>
        <w:spacing w:after="0" w:line="182"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We cannot assure you that we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 and Facilities</w:t>
      </w:r>
    </w:p>
    <w:p>
      <w:pPr>
        <w:spacing w:after="0" w:line="121" w:lineRule="exact"/>
        <w:rPr>
          <w:sz w:val="20"/>
          <w:szCs w:val="20"/>
          <w:color w:val="auto"/>
        </w:rPr>
      </w:pPr>
    </w:p>
    <w:p>
      <w:pPr>
        <w:jc w:val="both"/>
        <w:ind w:right="200" w:firstLine="589"/>
        <w:spacing w:after="0" w:line="259" w:lineRule="auto"/>
        <w:rPr>
          <w:sz w:val="20"/>
          <w:szCs w:val="20"/>
          <w:color w:val="auto"/>
        </w:rPr>
      </w:pPr>
      <w:r>
        <w:rPr>
          <w:rFonts w:ascii="Arial" w:cs="Arial" w:eastAsia="Arial" w:hAnsi="Arial"/>
          <w:sz w:val="18"/>
          <w:szCs w:val="18"/>
          <w:color w:val="auto"/>
        </w:rPr>
        <w:t>Our principal executive office is located in San Francisco, California, where we lease a total of 49,991 square feet of office and laboratory space that we use for our administrative, research and development and other activities. The lease expires in April 2025. Additionally, we have a sublease for a total of 2,500 square feet of laboratory space in Pittsburgh, Pennsylvania that expires in May 2021. We believe that our existing facilities are suitable and adequate for our current requirements and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Our common stock has been listed on the Nasdaq Global Market under the symbol “NRIX” since July 24, 2020. Prior to that date, there was no public trading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160" w:firstLine="589"/>
        <w:spacing w:after="0" w:line="311" w:lineRule="auto"/>
        <w:rPr>
          <w:sz w:val="20"/>
          <w:szCs w:val="20"/>
          <w:color w:val="auto"/>
        </w:rPr>
      </w:pPr>
      <w:r>
        <w:rPr>
          <w:rFonts w:ascii="Arial" w:cs="Arial" w:eastAsia="Arial" w:hAnsi="Arial"/>
          <w:sz w:val="16"/>
          <w:szCs w:val="16"/>
          <w:color w:val="auto"/>
        </w:rPr>
        <w:t>As of close of business on February 11, 2021, there were 92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finance the growth and development of our business, and we do not anticipate paying any cash dividends in the foreseeable future. Any future determination regarding the declaration and payment of dividends will fall within the discretion of our Board of Directors, and will depend on various factors, including our operating results, financial condition, and capital requirements, restrictions that may be imposed by applicable law, and other factors deemed relevant by our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a "smaller reporting company" as defined by Item 10 of Regulation S-K, we are not required to provide this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In the third fiscal quarter of 2020, we completed our IPO and sold 12,550,000 shares of common stock at an offering price of $19.00 per share. The offer and sale of all of the shares in the IPO were registered under the Securities Act pursuant to a registration statement on Form S-1 (File No. 333-239651), which was declared effective by the SEC on July 23, 2020. No additional shares were registered.</w:t>
      </w:r>
    </w:p>
    <w:p>
      <w:pPr>
        <w:spacing w:after="0" w:line="184"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July 24,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Information regarding our equity compensation plans and the securities authorized for issuance thereunder is set forth in Part III, Item 12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From December 1, 2019 through November 30, 2020, we sold and issued the following unregistered securities:</w:t>
      </w:r>
    </w:p>
    <w:p>
      <w:pPr>
        <w:spacing w:after="0" w:line="117" w:lineRule="exact"/>
        <w:rPr>
          <w:sz w:val="20"/>
          <w:szCs w:val="20"/>
          <w:color w:val="auto"/>
        </w:rPr>
      </w:pPr>
    </w:p>
    <w:p>
      <w:pPr>
        <w:jc w:val="both"/>
        <w:ind w:left="1460" w:right="540" w:hanging="440"/>
        <w:spacing w:after="0" w:line="263" w:lineRule="auto"/>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to filing our registration statement on Form S-8 in July 2020, we issued and sold to our directors, officers, employees, and consultants an aggregate of 447,177 unregistered shares of common stock upon exercise of stock options under our 2012 Equity Incentive Plan at per share exercise prices ranging from $0.24 to $9.57.</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6" w:name="page97"/>
    <w:bookmarkEnd w:id="96"/>
    <w:p>
      <w:pPr>
        <w:ind w:left="1460" w:right="540" w:hanging="440"/>
        <w:spacing w:after="0" w:line="277"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March 2020, we issued 9,431,364 shares of Series D redeemable convertible preferred stock that resulted in gross proceeds of $120.2 million.</w:t>
      </w:r>
    </w:p>
    <w:p>
      <w:pPr>
        <w:spacing w:after="0" w:line="62"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The offers, sales and issuances of the securities described in paragraph (1) above were deemed to be exempt from registration under the Securities Act under Rule 701 promulgated under the Securities Act as offers and sale of securities pursuant to certain compensatory benefit plans and contracts relating to compensation in compliance with Rule 701.</w:t>
      </w:r>
    </w:p>
    <w:p>
      <w:pPr>
        <w:spacing w:after="0" w:line="76"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offers, sales and issuances of the securities described in paragraph (2) above were deemed to be exempt from registration under the Securities Act in reliance on Section 4(a)(2) of the Securities Act. The recipients of securities in this transaction acquired the securities for investment only and not with a view to or for sale in connection with any distribution thereof and appropriate legends were affixed to the securities issued in this transaction. Each of the recipients of securities in this transaction was an accredited or sophisticated person and had adequate access, through employment, business or other relationships, to information about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Issuers and Affiliated Purchasers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provides information with respect to recent repurchase of unvested shares of our common stock:</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625"/>
        </w:trPr>
        <w:tc>
          <w:tcPr>
            <w:tcW w:w="3700" w:type="dxa"/>
            <w:vAlign w:val="bottom"/>
            <w:tcBorders>
              <w:top w:val="single" w:sz="8" w:color="auto"/>
              <w:left w:val="single" w:sz="8" w:color="auto"/>
              <w:right w:val="single" w:sz="8" w:color="auto"/>
            </w:tcBorders>
          </w:tcPr>
          <w:p>
            <w:pPr>
              <w:spacing w:after="0"/>
              <w:rPr>
                <w:sz w:val="24"/>
                <w:szCs w:val="24"/>
                <w:color w:val="auto"/>
              </w:rPr>
            </w:pPr>
          </w:p>
        </w:tc>
        <w:tc>
          <w:tcPr>
            <w:tcW w:w="1600" w:type="dxa"/>
            <w:vAlign w:val="bottom"/>
            <w:tcBorders>
              <w:top w:val="single" w:sz="8" w:color="auto"/>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Total Number of</w:t>
            </w:r>
          </w:p>
        </w:tc>
        <w:tc>
          <w:tcPr>
            <w:tcW w:w="144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w w:val="89"/>
              </w:rPr>
              <w:t>Average Price Paid</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Total Number of Shares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Maximum Number of Shares that</w:t>
            </w:r>
          </w:p>
        </w:tc>
        <w:tc>
          <w:tcPr>
            <w:tcW w:w="0" w:type="dxa"/>
            <w:vAlign w:val="bottom"/>
          </w:tcPr>
          <w:p>
            <w:pPr>
              <w:spacing w:after="0"/>
              <w:rPr>
                <w:sz w:val="1"/>
                <w:szCs w:val="1"/>
                <w:color w:val="auto"/>
              </w:rPr>
            </w:pPr>
          </w:p>
        </w:tc>
      </w:tr>
      <w:tr>
        <w:trPr>
          <w:trHeight w:val="185"/>
        </w:trPr>
        <w:tc>
          <w:tcPr>
            <w:tcW w:w="3700" w:type="dxa"/>
            <w:vAlign w:val="bottom"/>
            <w:tcBorders>
              <w:left w:val="single" w:sz="8" w:color="auto"/>
              <w:right w:val="single" w:sz="8" w:color="auto"/>
            </w:tcBorders>
          </w:tcPr>
          <w:p>
            <w:pPr>
              <w:spacing w:after="0"/>
              <w:rPr>
                <w:sz w:val="16"/>
                <w:szCs w:val="16"/>
                <w:color w:val="auto"/>
              </w:rPr>
            </w:pPr>
          </w:p>
        </w:tc>
        <w:tc>
          <w:tcPr>
            <w:tcW w:w="160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Purchased as part of Publicly</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May Yet Be Purchased Under the</w:t>
            </w:r>
          </w:p>
        </w:tc>
        <w:tc>
          <w:tcPr>
            <w:tcW w:w="0" w:type="dxa"/>
            <w:vAlign w:val="bottom"/>
          </w:tcPr>
          <w:p>
            <w:pPr>
              <w:spacing w:after="0"/>
              <w:rPr>
                <w:sz w:val="1"/>
                <w:szCs w:val="1"/>
                <w:color w:val="auto"/>
              </w:rPr>
            </w:pPr>
          </w:p>
        </w:tc>
      </w:tr>
      <w:tr>
        <w:trPr>
          <w:trHeight w:val="230"/>
        </w:trPr>
        <w:tc>
          <w:tcPr>
            <w:tcW w:w="3700" w:type="dxa"/>
            <w:vAlign w:val="bottom"/>
            <w:tcBorders>
              <w:left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color w:val="auto"/>
              </w:rPr>
              <w:t>Period</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0"/>
              </w:rPr>
              <w:t>Shares Purchased</w:t>
            </w:r>
            <w:r>
              <w:rPr>
                <w:rFonts w:ascii="Arial" w:cs="Arial" w:eastAsia="Arial" w:hAnsi="Arial"/>
                <w:sz w:val="15"/>
                <w:szCs w:val="15"/>
                <w:color w:val="auto"/>
                <w:w w:val="90"/>
              </w:rPr>
              <w:t>(1)</w:t>
            </w:r>
          </w:p>
        </w:tc>
        <w:tc>
          <w:tcPr>
            <w:tcW w:w="14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Announced Plans or Programs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Plans or Program</w:t>
            </w:r>
          </w:p>
        </w:tc>
        <w:tc>
          <w:tcPr>
            <w:tcW w:w="0" w:type="dxa"/>
            <w:vAlign w:val="bottom"/>
          </w:tcPr>
          <w:p>
            <w:pPr>
              <w:spacing w:after="0"/>
              <w:rPr>
                <w:sz w:val="1"/>
                <w:szCs w:val="1"/>
                <w:color w:val="auto"/>
              </w:rPr>
            </w:pPr>
          </w:p>
        </w:tc>
      </w:tr>
      <w:tr>
        <w:trPr>
          <w:trHeight w:val="318"/>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September 1 – September 30, 2020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ind w:left="2060"/>
              <w:spacing w:after="0"/>
              <w:rPr>
                <w:sz w:val="20"/>
                <w:szCs w:val="20"/>
                <w:color w:val="auto"/>
              </w:rPr>
            </w:pPr>
            <w:r>
              <w:rPr>
                <w:rFonts w:ascii="Arial" w:cs="Arial" w:eastAsia="Arial" w:hAnsi="Arial"/>
                <w:sz w:val="18"/>
                <w:szCs w:val="18"/>
                <w:color w:val="auto"/>
                <w:w w:val="88"/>
              </w:rPr>
              <w:t>—</w:t>
            </w:r>
          </w:p>
        </w:tc>
        <w:tc>
          <w:tcPr>
            <w:tcW w:w="2240" w:type="dxa"/>
            <w:vAlign w:val="bottom"/>
            <w:tcBorders>
              <w:bottom w:val="single" w:sz="8" w:color="auto"/>
              <w:right w:val="single" w:sz="8" w:color="auto"/>
            </w:tcBorders>
          </w:tcPr>
          <w:p>
            <w:pPr>
              <w:ind w:left="20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318"/>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October 1 – October 31, 2020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260" w:type="dxa"/>
            <w:vAlign w:val="bottom"/>
            <w:tcBorders>
              <w:bottom w:val="single" w:sz="8" w:color="auto"/>
              <w:right w:val="single" w:sz="8" w:color="auto"/>
            </w:tcBorders>
          </w:tcPr>
          <w:p>
            <w:pPr>
              <w:ind w:left="2060"/>
              <w:spacing w:after="0"/>
              <w:rPr>
                <w:sz w:val="20"/>
                <w:szCs w:val="20"/>
                <w:color w:val="auto"/>
              </w:rPr>
            </w:pPr>
            <w:r>
              <w:rPr>
                <w:rFonts w:ascii="Arial" w:cs="Arial" w:eastAsia="Arial" w:hAnsi="Arial"/>
                <w:sz w:val="18"/>
                <w:szCs w:val="18"/>
                <w:color w:val="auto"/>
                <w:w w:val="88"/>
              </w:rPr>
              <w:t>—</w:t>
            </w:r>
          </w:p>
        </w:tc>
        <w:tc>
          <w:tcPr>
            <w:tcW w:w="2240" w:type="dxa"/>
            <w:vAlign w:val="bottom"/>
            <w:tcBorders>
              <w:bottom w:val="single" w:sz="8" w:color="auto"/>
              <w:right w:val="single" w:sz="8" w:color="auto"/>
            </w:tcBorders>
          </w:tcPr>
          <w:p>
            <w:pPr>
              <w:ind w:left="20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318"/>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November 1 – November 30, 2020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ind w:left="2060"/>
              <w:spacing w:after="0"/>
              <w:rPr>
                <w:sz w:val="20"/>
                <w:szCs w:val="20"/>
                <w:color w:val="auto"/>
              </w:rPr>
            </w:pPr>
            <w:r>
              <w:rPr>
                <w:rFonts w:ascii="Arial" w:cs="Arial" w:eastAsia="Arial" w:hAnsi="Arial"/>
                <w:sz w:val="18"/>
                <w:szCs w:val="18"/>
                <w:color w:val="auto"/>
                <w:w w:val="88"/>
              </w:rPr>
              <w:t>—</w:t>
            </w:r>
          </w:p>
        </w:tc>
        <w:tc>
          <w:tcPr>
            <w:tcW w:w="2240" w:type="dxa"/>
            <w:vAlign w:val="bottom"/>
            <w:tcBorders>
              <w:bottom w:val="single" w:sz="8" w:color="auto"/>
              <w:right w:val="single" w:sz="8" w:color="auto"/>
            </w:tcBorders>
          </w:tcPr>
          <w:p>
            <w:pPr>
              <w:ind w:left="20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020" w:right="80" w:hanging="432"/>
        <w:spacing w:after="0" w:line="263"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the shares repurchased, as reflected in the table above, were repurchases of unvested shares of our common stock that had been issued upon early exercise of stock options. Upon termination of employment of a person holding unvested shares, we are entitled to repurchase the unvested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a “smaller reporting company” as defined by Item 10 of Regulation S-K, we are not required to provide this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appearing elsewhere in this Annual Report on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w:t>
      </w:r>
    </w:p>
    <w:p>
      <w:pPr>
        <w:spacing w:after="0" w:line="70" w:lineRule="exact"/>
        <w:rPr>
          <w:sz w:val="20"/>
          <w:szCs w:val="20"/>
          <w:color w:val="auto"/>
        </w:rPr>
      </w:pPr>
    </w:p>
    <w:p>
      <w:pPr>
        <w:ind w:right="340" w:firstLine="589"/>
        <w:spacing w:after="0" w:line="279" w:lineRule="auto"/>
        <w:rPr>
          <w:sz w:val="20"/>
          <w:szCs w:val="20"/>
          <w:color w:val="auto"/>
        </w:rPr>
      </w:pPr>
      <w:r>
        <w:rPr>
          <w:rFonts w:ascii="Arial" w:cs="Arial" w:eastAsia="Arial" w:hAnsi="Arial"/>
          <w:sz w:val="17"/>
          <w:szCs w:val="17"/>
          <w:i w:val="1"/>
          <w:iCs w:val="1"/>
          <w:color w:val="auto"/>
        </w:rPr>
        <w:t>A discussion regarding our financial condition and results of operation for the year ended November 30, 2020 compared to the year ended November 30, 2019 is presented below. A discussion regarding our financial condition and results of operations for the year ended November 30, 2019 compared to the year ended November 30, 2018 is included under “Management’s Discussion and Analysis of Financial Condition and Results of Operations” in our prospectus for our IPO, which was filed with the SEC pursuant to Rule 424(b) on July 24,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We are a biopharmaceutical company focused on the discovery, development and commercialization of small molecule therapies designed to modulate cellular protein levels as a novel treatment approach for cancer and immune disorders.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UPS to selectively decrease or increase cellular protein levels. Our wholly owned pipeline comprises targeted protein degraders of BTK, a B-cell signaling protein, and inhibitors of CBL-B, an E3 ligase that regulates T cell activation. Our lead drug candidate from our protein degradation portfolio, NX-2127, is an orally available BTK degrader for the treatment of relapsed or refractory B-cell malignancies. We expect to dose the first patient in a Phase 1 clinical trial for NX-2127 in the first quarter of 2021. Our second drug candidate from our protein degradation portfolio, NX-5948, is also an orally bioavailable BTK degrader for the treatment of relapsed or refractory B-cell malignancies and potentially autoimmune diseases. We anticipate commencing a Phase 1 trial for NX-5948 in the second half of 2021. Our lead drug candidate from our E3 ligase inhibitor portfolio, NX-1607, is an orally available CBL-B inhibitor for immuno-oncology indications. We expect to commence a Phase 1 clinical trial in the second half of 2021. We have two additional clinical candidates, NX-5948, an orally available BTK degrader, and DeTIL-0255, a drug-enhanced tumor infiltrating lymphocyte adoptive cellular therapy, for which we anticipate commencing Phase 1 clinical trials in the second half of 2021. All expected Phase 1 clinical trial commencements are based on calendar years. Beyond these preclinical programs, we are advancing additional drug discovery programs, either independently or through our established strategic collaborations with Sanofi and Gilead.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Collaboration and License Agreement</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In December 2019, we entered into a strategic collaboration with Sanofi, which became effective in January 2020, and was subsequently expanded and amended in January 2021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Sanofi exercised its option to expand the number of targets in the collaboration agreement from three to a total of five targets. Over time and subject to certain limitations, Sanofi may elect to replace the drug targets with other reserved targets.</w:t>
      </w:r>
    </w:p>
    <w:p>
      <w:pPr>
        <w:spacing w:after="0" w:line="161" w:lineRule="exact"/>
        <w:rPr>
          <w:sz w:val="20"/>
          <w:szCs w:val="20"/>
          <w:color w:val="auto"/>
        </w:rPr>
      </w:pPr>
    </w:p>
    <w:p>
      <w:pPr>
        <w:jc w:val="both"/>
        <w:ind w:right="220" w:firstLine="589"/>
        <w:spacing w:after="0" w:line="311" w:lineRule="auto"/>
        <w:rPr>
          <w:sz w:val="20"/>
          <w:szCs w:val="20"/>
          <w:color w:val="auto"/>
        </w:rPr>
      </w:pPr>
      <w:r>
        <w:rPr>
          <w:rFonts w:ascii="Arial" w:cs="Arial" w:eastAsia="Arial" w:hAnsi="Arial"/>
          <w:sz w:val="16"/>
          <w:szCs w:val="16"/>
          <w:color w:val="auto"/>
        </w:rPr>
        <w:t>Under the Sanofi Agreement, Sanofi has exclusive rights and is responsible for the clinical development, commercialization and manufacture of product candidates resulting from the collaboration while we retain the option to co-develop, co-promote and co-commercialize all product candidates in the United States directed to up to two targets under certain conditions. The collaboration excludes our current internal protein degradation programs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8" w:name="page99"/>
    <w:bookmarkEnd w:id="98"/>
    <w:p>
      <w:pPr>
        <w:ind w:right="260"/>
        <w:spacing w:after="0" w:line="277" w:lineRule="auto"/>
        <w:rPr>
          <w:sz w:val="20"/>
          <w:szCs w:val="20"/>
          <w:color w:val="auto"/>
        </w:rPr>
      </w:pPr>
      <w:r>
        <w:rPr>
          <w:rFonts w:ascii="Arial" w:cs="Arial" w:eastAsia="Arial" w:hAnsi="Arial"/>
          <w:sz w:val="18"/>
          <w:szCs w:val="18"/>
          <w:color w:val="auto"/>
        </w:rPr>
        <w:t>for which we retain all rights, and also excludes our future internal programs, provided that we have distinguished future programs as excluded from the scope of the collaboration.</w:t>
      </w:r>
    </w:p>
    <w:p>
      <w:pPr>
        <w:spacing w:after="0" w:line="170"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CTMs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166"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Upon signing the Sanofi Agreement, Sanofi paid us an upfront payment of $55.0 million, which was received in January 2020. Subsequently in January 2021, Sanofi paid us an additional $22.0 million to exercise its option to expand the number of targets beyond the initial targets included in the collaboration or exercises an option to extend the license term with respect to a particular target. As of November 30, 2020, we are eligible to receive up to approximately $2.5 billion in total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177"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We recognized collaboration revenue from the Sanofi Agreement of $5.7 million during the year ended November 30, 2020. As of November 30, 2020, there was $49.3 million of deferred revenue related to payments received by us under the Sanofi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Gilead Collaboration, Option and License Agreement</w:t>
      </w:r>
    </w:p>
    <w:p>
      <w:pPr>
        <w:spacing w:after="0" w:line="117" w:lineRule="exact"/>
        <w:rPr>
          <w:sz w:val="20"/>
          <w:szCs w:val="20"/>
          <w:color w:val="auto"/>
        </w:rPr>
      </w:pPr>
    </w:p>
    <w:p>
      <w:pPr>
        <w:ind w:right="40" w:firstLine="589"/>
        <w:spacing w:after="0" w:line="286" w:lineRule="auto"/>
        <w:rPr>
          <w:sz w:val="20"/>
          <w:szCs w:val="20"/>
          <w:color w:val="auto"/>
        </w:rPr>
      </w:pPr>
      <w:r>
        <w:rPr>
          <w:rFonts w:ascii="Arial" w:cs="Arial" w:eastAsia="Arial" w:hAnsi="Arial"/>
          <w:sz w:val="17"/>
          <w:szCs w:val="17"/>
          <w:color w:val="auto"/>
        </w:rPr>
        <w:t>In June 2019, we entered into a global strategic collaboration agreement with Gilead, which was amended in August 2019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w:t>
      </w:r>
    </w:p>
    <w:p>
      <w:pPr>
        <w:spacing w:after="0" w:line="165"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Under the Gilead Agreement, Gilead has the option to license drug candidates directed to up to five targets resulting from the collaboration and is responsible for the clinical development and commercialization of product candidates resulting from the collaboration. We retain the option to co-develop and co-promote, under a profit share structure, up to two product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176"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16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Pursuant to the Gilead Agreement, we received an upfront payment of $45.0 million, plus $3.0 million in additional fees As of November 30, 2020, we are eligible to receive up to approximately $2.3 billion in total additional payments based on certain additional fees, payments and the successful completion of certain preclinical,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9" w:name="page100"/>
    <w:bookmarkEnd w:id="99"/>
    <w:p>
      <w:pPr>
        <w:ind w:right="20"/>
        <w:spacing w:after="0" w:line="273" w:lineRule="auto"/>
        <w:rPr>
          <w:sz w:val="20"/>
          <w:szCs w:val="20"/>
          <w:color w:val="auto"/>
        </w:rPr>
      </w:pPr>
      <w:r>
        <w:rPr>
          <w:rFonts w:ascii="Arial" w:cs="Arial" w:eastAsia="Arial" w:hAnsi="Arial"/>
          <w:sz w:val="17"/>
          <w:szCs w:val="17"/>
          <w:color w:val="auto"/>
        </w:rPr>
        <w:t>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 In February 2020, we achieved a research milestone, resulting in a $2.5 million additional payment, which we received in April 2020, and in May 2020, we recorded $1.0 million in additional fees related to a certain target reservation, which we received in June 2020. In November 2020, we recognized two research milestones, resulting in a $7.5 million additional payment, which we received in January 2021.</w:t>
      </w:r>
    </w:p>
    <w:p>
      <w:pPr>
        <w:spacing w:after="0" w:line="178" w:lineRule="exact"/>
        <w:rPr>
          <w:sz w:val="20"/>
          <w:szCs w:val="20"/>
          <w:color w:val="auto"/>
        </w:rPr>
      </w:pPr>
    </w:p>
    <w:p>
      <w:pPr>
        <w:jc w:val="both"/>
        <w:ind w:right="40" w:firstLine="589"/>
        <w:spacing w:after="0" w:line="342" w:lineRule="auto"/>
        <w:rPr>
          <w:sz w:val="20"/>
          <w:szCs w:val="20"/>
          <w:color w:val="auto"/>
        </w:rPr>
      </w:pPr>
      <w:r>
        <w:rPr>
          <w:rFonts w:ascii="Arial" w:cs="Arial" w:eastAsia="Arial" w:hAnsi="Arial"/>
          <w:sz w:val="16"/>
          <w:szCs w:val="16"/>
          <w:color w:val="auto"/>
        </w:rPr>
        <w:t>We recognized collaboration revenue from the Gilead Agreement of $12.1 million and $2.7 million during the years ended November 30, 2020 and 2019, respectively. As of November 30, 2020, there was $44.2 million of deferred revenue related to payments received by us under the Gilead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Research and Collaboration Agreement</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In September 2015, we entered into a strategic collaboration with Celgene Corporation (the Celgene Agreement and Celgene, respectively), with an initial research term of four years pursuant to which we received an upfront payment of $150.0 million. In addition, in September 2015, Celgene purchased 1,622,222 shares of our Series C redeemable convertible preferred stock at a price of $10.50 per share, resulting in net proceeds of $17.0 million. In January 2019, Celgene and Bristol-Myers Squibb Company (BMS) entered into a definitive merger agreement pursuant to which Celgene agreed to be acquired by BMS. Based on our request for notification of the future disposition of our agreement, in June 2019, Celgene notified us that it was terminating the Celgene Agreement. Upon termination of the Celgene Agreement in June 2019, any rights that Celgene had under the agreement reverted to us and no termination payments were due or payable.</w:t>
      </w:r>
    </w:p>
    <w:p>
      <w:pPr>
        <w:spacing w:after="0" w:line="17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recognized no collaboration revenue from the Celgene Agreement during the year ended November 30, 2020. During the years ended November 30, 2019, we recognized $28.4 million in collaboration revenue under the Celgene Agreement. As of November 30, 2020, there was no deferred revenue related to payments received by us under the Celgene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DeCART Therapeutics Inc.</w:t>
      </w:r>
    </w:p>
    <w:p>
      <w:pPr>
        <w:spacing w:after="0" w:line="12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In June 2020, we established DeCART Therapeutics Inc. (DeCART), a wholly owned subsidiary, with an investment of $3.0 million and granted DeCART a license to three of our compounds, including NX-0255, for drug-enhanced isolation of T cells nonexclusively with respect to one chimeric antigen receptor T cell (CAR-T) therapy target and exclusively with respect to three novel CAR-T therapy targets. DeCART expects to combine our protein modulation technologies with novel CAR-T therapies to address current immunotherapy limitations and improve outcomes for patients with cancer, and subsequently seek equity financing from third parties and become an independent operating entity. DeCART has granted to its external founders stock options to purchase shares of DeCART’s common stock equal to 14% of the fully diluted capitalization of DeCART. Following either the third-party funding or the exercise of the stock option grants, DeCART will no longer be a wholly owned subsidiary.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right="140" w:firstLine="589"/>
        <w:spacing w:after="0" w:line="273" w:lineRule="auto"/>
        <w:rPr>
          <w:sz w:val="20"/>
          <w:szCs w:val="20"/>
          <w:color w:val="auto"/>
        </w:rPr>
      </w:pPr>
      <w:r>
        <w:rPr>
          <w:rFonts w:ascii="Arial" w:cs="Arial" w:eastAsia="Arial" w:hAnsi="Arial"/>
          <w:sz w:val="17"/>
          <w:szCs w:val="17"/>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and the issuance and sale of common and redeemable convertible preferred stock. We do not expect to generate product revenue unless and until we successfully develop and obtain approval for the commercialization of a product candidate, and we cannot assure you that we will ever generate significant revenue or profits.</w:t>
      </w:r>
    </w:p>
    <w:p>
      <w:pPr>
        <w:spacing w:after="0" w:line="178"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Since inception, we have generally incurred significant losses and negative cash flows from operations. We incurred net losses of $43.2 million and $21.7 million during the years ended November 30, 2020 and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0" w:name="page101"/>
    <w:bookmarkEnd w:id="100"/>
    <w:p>
      <w:pPr>
        <w:ind w:right="500"/>
        <w:spacing w:after="0" w:line="308" w:lineRule="auto"/>
        <w:rPr>
          <w:sz w:val="20"/>
          <w:szCs w:val="20"/>
          <w:color w:val="auto"/>
        </w:rPr>
      </w:pPr>
      <w:r>
        <w:rPr>
          <w:rFonts w:ascii="Arial" w:cs="Arial" w:eastAsia="Arial" w:hAnsi="Arial"/>
          <w:sz w:val="17"/>
          <w:szCs w:val="17"/>
          <w:color w:val="auto"/>
        </w:rPr>
        <w:t>respectively. As of November 30, 2020, we had an accumulated deficit of $103.7 million. These losses have resulted primarily from costs incurred in connection with research and development activities and general and administrative costs associated with our operations.</w:t>
      </w:r>
    </w:p>
    <w:p>
      <w:pPr>
        <w:spacing w:after="0" w:line="146" w:lineRule="exact"/>
        <w:rPr>
          <w:sz w:val="20"/>
          <w:szCs w:val="20"/>
          <w:color w:val="auto"/>
        </w:rPr>
      </w:pPr>
    </w:p>
    <w:p>
      <w:pPr>
        <w:ind w:right="200" w:firstLine="589"/>
        <w:spacing w:after="0" w:line="289" w:lineRule="auto"/>
        <w:rPr>
          <w:sz w:val="20"/>
          <w:szCs w:val="20"/>
          <w:color w:val="auto"/>
        </w:rPr>
      </w:pPr>
      <w:r>
        <w:rPr>
          <w:rFonts w:ascii="Arial" w:cs="Arial" w:eastAsia="Arial" w:hAnsi="Arial"/>
          <w:sz w:val="16"/>
          <w:szCs w:val="16"/>
          <w:color w:val="auto"/>
        </w:rPr>
        <w:t>We do not expect to generate any revenue from commercial product sales unless and until we successfully complete development and obtain regulatory approval for one or more of our product candidates, which we expect will take a number of years. We expect our expenses will increase substantially as we advance our product candidates through preclinical and into clinical development; enter advanced clinical development and scale up external manufacturing capabilities to supply clinical trials; apply our DELigase platform to advance additional product candidates and expand the capabilities of our platform; seek marketing approvals for any product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to incur additional costs associated with operating as a public company, including significant legal, accounting, insurance, investor relations and other administrative and professional services expenses.</w:t>
      </w:r>
    </w:p>
    <w:p>
      <w:pPr>
        <w:spacing w:after="0" w:line="16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net losses and cash flows may fluctuate significantly from period to period, depending on, among other things, variations in the level of expense related to the ongoing development of our product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18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As of November 30, 2020, we had $372.0 million in cash, cash equivalents and investments. In July 2020, we closed our IPO, and issued 12,550,000 shares of our common stock (including the exercise by the underwriters of their option to purchase an additional 1,550,000 shares of common stock in August 2020) at a price to the public of $19.00 per share for net proceeds of approximately $218.1 million, after deducting underwriting discounts and commissions of $16.7 million and expenses of $3.6 million. We expect that our existing cash, cash equivalents and investments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product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185"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We are subject to risks and uncertainties as a result of the current COVID-19 pandemic. The COVID-19 pandemic, which is impacting worldwide economic activity, poses the risk that we or our employees, contractors, suppliers and other partners may be prevented from conducting business activities for an indefinite period of time, including due to shutdowns that may be requested or mandated by governmental authorities. While the impact of the COVID-19 pandemic to our current operations has been minimal as we have only recently commenced clinical development of our first product candidate, the extent to which the COVID-19 pandemic will impact our business, financial condition, liquidity and results of operations in the future will depend on future developments that are highly uncertain and cannot be predicted at this time.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We have no products approved for commercial sale and to date have not generated any revenue and do not expect to generate any revenue from the sale of products in the near future.</w:t>
      </w:r>
    </w:p>
    <w:p>
      <w:pPr>
        <w:spacing w:after="0" w:line="170"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Prior to December 1, 2019, we recognized revenue from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1" w:name="page102"/>
    <w:bookmarkEnd w:id="101"/>
    <w:p>
      <w:pPr>
        <w:spacing w:after="0" w:line="288" w:lineRule="auto"/>
        <w:rPr>
          <w:sz w:val="20"/>
          <w:szCs w:val="20"/>
          <w:color w:val="auto"/>
        </w:rPr>
      </w:pPr>
      <w:r>
        <w:rPr>
          <w:rFonts w:ascii="Arial" w:cs="Arial" w:eastAsia="Arial" w:hAnsi="Arial"/>
          <w:sz w:val="16"/>
          <w:szCs w:val="16"/>
          <w:color w:val="auto"/>
        </w:rPr>
        <w:t xml:space="preserve">upfront payments over the term of our estimated period of performance using either a straight-line or input/proportional performance approach, depending on the agreement, in accordance with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Revenue related to the upfront payment received pursuant to the Celgene Agreement was recognized using a straight-line basis. Effective December 1, 2019, we began recognizing revenue from upfront payments over the contract term using a cost-based input method under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Revenue related to the upfront payments received pursuant to the Gilead Agreement was recognized using the input/proportional performance approach prior to December 1, 2019 and the cost-based input method beginning December 1, 2019. There would have been no difference between the revenue recognized under Topic 606 and the revenue recognized under ASC 605 for the Gilead Agreement. Revenue related to the upfront payment received pursuant to the Sanofi Agreement was recognized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168"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184"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Research and development expenses consist primarily of costs incurred for the discovery and development of our product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product candidates.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Internal research and development costs include:</w:t>
      </w:r>
    </w:p>
    <w:p>
      <w:pPr>
        <w:spacing w:after="0" w:line="117" w:lineRule="exact"/>
        <w:rPr>
          <w:sz w:val="20"/>
          <w:szCs w:val="20"/>
          <w:color w:val="auto"/>
        </w:rPr>
      </w:pPr>
    </w:p>
    <w:p>
      <w:pPr>
        <w:ind w:left="1160" w:right="46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payroll and personnel expenses, including benefits, stock-based compensation and travel expenses, for our research and development functions;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depreciation of research and development equipment, allocated overhead and facilities-related expenses.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External research and development expenses consist primarily of costs incurred for the development of our product candidates and may include:</w:t>
      </w:r>
    </w:p>
    <w:p>
      <w:pPr>
        <w:spacing w:after="0" w:line="140" w:lineRule="exact"/>
        <w:rPr>
          <w:sz w:val="20"/>
          <w:szCs w:val="20"/>
          <w:color w:val="auto"/>
        </w:rPr>
      </w:pPr>
    </w:p>
    <w:p>
      <w:pPr>
        <w:ind w:left="1160" w:right="2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paid to third parties such as consultants, contractors and contract research organizations to conduct our discovery programs, preclinical studies and clinical trials;</w:t>
      </w:r>
    </w:p>
    <w:p>
      <w:pPr>
        <w:spacing w:after="0" w:line="62"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to acquire, develop and manufacture supplies for preclinical studies and clinical trials, including fees paid to third parties such as CMOs;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expenses related to laboratory supplies and services.</w:t>
      </w:r>
    </w:p>
    <w:p>
      <w:pPr>
        <w:spacing w:after="0" w:line="225" w:lineRule="exact"/>
        <w:rPr>
          <w:sz w:val="20"/>
          <w:szCs w:val="20"/>
          <w:color w:val="auto"/>
        </w:rPr>
      </w:pPr>
    </w:p>
    <w:p>
      <w:pPr>
        <w:ind w:right="400" w:firstLine="589"/>
        <w:spacing w:after="0" w:line="273"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to advance our product candidates into and through our preclinical studies and clinical trials, pursue regulatory approval of our product candidates and expand our product candidate pipeline. The process of conducting the necessary preclinical and clinical research to obtain regulatory approval is costly and time-consuming. To the extent that our product candidates advance and continue to advance into clinical trials, our expenses will increase substantially and may become more variable. The actual probability of success for our product candidates may be affected by a variety of factors, including the safety and efficacy of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2" w:name="page103"/>
    <w:bookmarkEnd w:id="102"/>
    <w:p>
      <w:pPr>
        <w:spacing w:after="0" w:line="259" w:lineRule="auto"/>
        <w:rPr>
          <w:sz w:val="20"/>
          <w:szCs w:val="20"/>
          <w:color w:val="auto"/>
        </w:rPr>
      </w:pPr>
      <w:r>
        <w:rPr>
          <w:rFonts w:ascii="Arial" w:cs="Arial" w:eastAsia="Arial" w:hAnsi="Arial"/>
          <w:sz w:val="18"/>
          <w:szCs w:val="18"/>
          <w:color w:val="auto"/>
        </w:rPr>
        <w:t>product candidates, investment in our clinical programs, the ability of collaborators to successfully develop our licensed product candidates, manufacturing capability, competition with other products and commercial viability. As a result of these variables, we are unable to determine when and to what extent we will generate revenue from the commercialization and sale of our product candidates. We may never succeed in achieving regulatory approval for any of our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40" w:firstLine="589"/>
        <w:spacing w:after="0" w:line="273" w:lineRule="auto"/>
        <w:rPr>
          <w:sz w:val="20"/>
          <w:szCs w:val="20"/>
          <w:color w:val="auto"/>
        </w:rPr>
      </w:pPr>
      <w:r>
        <w:rPr>
          <w:rFonts w:ascii="Arial" w:cs="Arial" w:eastAsia="Arial" w:hAnsi="Arial"/>
          <w:sz w:val="17"/>
          <w:szCs w:val="17"/>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substantially for the foreseeable future as we continue to build our infrastructure, increase our headcount and operate as a public company. This may include expenses related to compliance with the rules and regulations of the 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jc w:val="both"/>
        <w:ind w:right="300" w:firstLine="589"/>
        <w:spacing w:after="0" w:line="263" w:lineRule="auto"/>
        <w:rPr>
          <w:sz w:val="20"/>
          <w:szCs w:val="20"/>
          <w:color w:val="auto"/>
        </w:rPr>
      </w:pPr>
      <w:r>
        <w:rPr>
          <w:rFonts w:ascii="Arial" w:cs="Arial" w:eastAsia="Arial" w:hAnsi="Arial"/>
          <w:sz w:val="18"/>
          <w:szCs w:val="18"/>
          <w:color w:val="auto"/>
        </w:rPr>
        <w:t>Interest and other income, net primarily consists of interest earned on our cash, cash equivalents and investments. We expect interest income to vary each reporting period depending on our average bank deposit, money market fund, and investment balances during the period and market interest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jc w:val="both"/>
        <w:ind w:right="60" w:firstLine="589"/>
        <w:spacing w:after="0" w:line="311" w:lineRule="auto"/>
        <w:rPr>
          <w:sz w:val="20"/>
          <w:szCs w:val="20"/>
          <w:color w:val="auto"/>
        </w:rPr>
      </w:pPr>
      <w:r>
        <w:rPr>
          <w:rFonts w:ascii="Arial" w:cs="Arial" w:eastAsia="Arial" w:hAnsi="Arial"/>
          <w:sz w:val="16"/>
          <w:szCs w:val="16"/>
          <w:color w:val="auto"/>
        </w:rPr>
        <w:t>The provision for income taxes primarily consists of reserves for unrecognized tax benefits and minimum state taxes. The benefit for income taxes consists of a discrete tax benefit from an adjustment to the NOL deferred tax asset and valuation allowance. We have generated NOLs since inception and have established a full valuation allowance against our deferred tax assets due to the uncertainty surrounding the realization of such assets.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Our accounting policies are more fully described in Note 2 of the consolidated financial statements to this Annual Report on Form 10-K. As disclosed in Note 2, 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589"/>
        <w:spacing w:after="0" w:line="342" w:lineRule="auto"/>
        <w:rPr>
          <w:sz w:val="20"/>
          <w:szCs w:val="20"/>
          <w:color w:val="auto"/>
        </w:rPr>
      </w:pPr>
      <w:r>
        <w:rPr>
          <w:rFonts w:ascii="Arial" w:cs="Arial" w:eastAsia="Arial" w:hAnsi="Arial"/>
          <w:sz w:val="16"/>
          <w:szCs w:val="16"/>
          <w:color w:val="auto"/>
        </w:rPr>
        <w:t xml:space="preserve">Prior to December 1, 2019, we recognized revenue in accordance with the Financial Accounting Standards Board’s (FASB)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Accordingly, revenue is recognized for each unit of accounting when all of the following criteria are met:</w:t>
      </w:r>
    </w:p>
    <w:p>
      <w:pPr>
        <w:spacing w:after="0" w:line="16" w:lineRule="exact"/>
        <w:rPr>
          <w:sz w:val="20"/>
          <w:szCs w:val="20"/>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color w:val="auto"/>
        </w:rPr>
        <w:t>We evaluate multiple element arrangements to determine if each deliverable represents a separate unit of accounting based on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criteria:</w:t>
      </w:r>
    </w:p>
    <w:p>
      <w:pPr>
        <w:spacing w:after="0" w:line="103" w:lineRule="exact"/>
        <w:rPr>
          <w:sz w:val="20"/>
          <w:szCs w:val="20"/>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Delivered item or items have value to the customer on a standalone basis, and</w:t>
      </w:r>
    </w:p>
    <w:p>
      <w:pPr>
        <w:spacing w:after="0" w:line="117"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relative to the delivered item or items, delivery or performance of the undelivered item or items is considered probable and substantially in our control.</w:t>
      </w:r>
    </w:p>
    <w:p>
      <w:pPr>
        <w:spacing w:after="0" w:line="170"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The arrangement’s consideration that is fixed or determinable is then allocated to each separate unit of accounting based on the relative selling price methodology in accordance with the selling price hierarchy, which includes vendor-specific objective evidence (VSOE) of selling price, if available, or third-party evidence of selling price if VSOE is not available, or the best estimate of selling price, if neither VSOE nor third-party evidence is available. The provisions of ASC 605 are then applied to each unit of accounting to determine the appropriate revenue recognition. In the event that a deliverable of a multiple element arrangement does not represent a separate unit of accounting, primarily because a deliverable does not provide value on a standalone basis, we recognize revenue from the combined unit of accounting using the input/proportional performance approach as research is delivered or on a straight-line basis over the estimated period of performance when there is no discernable pattern of performance.</w:t>
      </w:r>
    </w:p>
    <w:p>
      <w:pPr>
        <w:spacing w:after="0" w:line="166"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 xml:space="preserve">We evaluate potential milestone payments associated with research and development arrangements in accordance with ASC 605-28, </w:t>
      </w:r>
      <w:r>
        <w:rPr>
          <w:rFonts w:ascii="Arial" w:cs="Arial" w:eastAsia="Arial" w:hAnsi="Arial"/>
          <w:sz w:val="17"/>
          <w:szCs w:val="17"/>
          <w:i w:val="1"/>
          <w:iCs w:val="1"/>
          <w:color w:val="auto"/>
        </w:rPr>
        <w:t>Milestone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Method. </w:t>
      </w:r>
      <w:r>
        <w:rPr>
          <w:rFonts w:ascii="Arial" w:cs="Arial" w:eastAsia="Arial" w:hAnsi="Arial"/>
          <w:sz w:val="17"/>
          <w:szCs w:val="17"/>
          <w:color w:val="auto"/>
        </w:rPr>
        <w:t>Under the milestone method, we may recognize revenue contingent upon the achievement of a milestone in its entirety in the period in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 is achieved, only if the milestone meets all the criteria within the guidance to be considered a substantive milestone. We evaluate each contingent payment on an individual basis to determine whether they are considered substantive milestones, specifically reviewing factors such as the degree of certainty in achieving the milestone, the research and development risk and other risks that must be overcome to achieve the milestone, as well as the level of effort and investment required and whether the milestone consideration is reasonable relative to all deliverables and payment terms in the arrangement. This evaluation includes an assessment of whether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Revenues from milestones, if they are nonrefundable and deemed substantive, are recognized upon achievement of the milestones.</w:t>
      </w:r>
    </w:p>
    <w:p>
      <w:pPr>
        <w:spacing w:after="0" w:line="182" w:lineRule="exact"/>
        <w:rPr>
          <w:sz w:val="20"/>
          <w:szCs w:val="20"/>
          <w:color w:val="auto"/>
        </w:rPr>
      </w:pPr>
    </w:p>
    <w:p>
      <w:pPr>
        <w:jc w:val="both"/>
        <w:ind w:right="180" w:firstLine="589"/>
        <w:spacing w:after="0" w:line="301" w:lineRule="auto"/>
        <w:rPr>
          <w:sz w:val="20"/>
          <w:szCs w:val="20"/>
          <w:color w:val="auto"/>
        </w:rPr>
      </w:pPr>
      <w:r>
        <w:rPr>
          <w:rFonts w:ascii="Arial" w:cs="Arial" w:eastAsia="Arial" w:hAnsi="Arial"/>
          <w:sz w:val="16"/>
          <w:szCs w:val="16"/>
          <w:color w:val="auto"/>
        </w:rPr>
        <w:t>To the extent that non-substantive milestones are achieved, and we have remaining deliverables, milestone payments are deferred and recognized as revenue over the estimated remaining performance period using the appropriate measure of progress as determined for each agreement. We recognize revenue associated with the non-substantive milestones upon achievement of the milestone if we have no remaining deliverables. During the years ended November 30, 2019, no milestone payments were received, no milestone revenues were recognized and no milestones were considered substantive.</w:t>
      </w:r>
    </w:p>
    <w:p>
      <w:pPr>
        <w:spacing w:after="0" w:line="15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 xml:space="preserve">Effective December 1, 2019, we adopted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using the modified retrospective method, which was only applied to contracts that were not completed as of the adoption date. As of the adoption date, we had only one contract, a collaboration agreement with Gilead, not completed. Under Topic 606, we recognize revenue when its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w:t>
      </w:r>
    </w:p>
    <w:p>
      <w:pPr>
        <w:spacing w:after="0" w:line="68" w:lineRule="exact"/>
        <w:rPr>
          <w:sz w:val="20"/>
          <w:szCs w:val="20"/>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recognize revenue when (or as) we satisfy a performance obligation.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04" w:name="page105"/>
    <w:bookmarkEnd w:id="104"/>
    <w:p>
      <w:pPr>
        <w:ind w:right="460" w:firstLine="589"/>
        <w:spacing w:after="0" w:line="263" w:lineRule="auto"/>
        <w:rPr>
          <w:sz w:val="20"/>
          <w:szCs w:val="20"/>
          <w:color w:val="auto"/>
        </w:rPr>
      </w:pPr>
      <w:r>
        <w:rPr>
          <w:rFonts w:ascii="Arial" w:cs="Arial" w:eastAsia="Arial" w:hAnsi="Arial"/>
          <w:sz w:val="18"/>
          <w:szCs w:val="18"/>
          <w:color w:val="auto"/>
        </w:rPr>
        <w:t>At contract inception, we assess the goods or services promised within each contract, whether each promised good or service is distinct, and determines those that are performance obligations. We then recognize as revenue the amount of the transaction price that is allocated to the respective performance obligation when or as the performance obligation is satisfied.</w:t>
      </w:r>
    </w:p>
    <w:p>
      <w:pPr>
        <w:spacing w:after="0" w:line="184"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We enter into collaboration agreements under which we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We assess these promises within the context of the agreements to determine the performance obligations.</w:t>
      </w:r>
    </w:p>
    <w:p>
      <w:pPr>
        <w:spacing w:after="0" w:line="157"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i w:val="1"/>
          <w:iCs w:val="1"/>
          <w:color w:val="auto"/>
        </w:rPr>
        <w:t>Research and collaboration licenses</w:t>
      </w:r>
      <w:r>
        <w:rPr>
          <w:rFonts w:ascii="Arial" w:cs="Arial" w:eastAsia="Arial" w:hAnsi="Arial"/>
          <w:sz w:val="16"/>
          <w:szCs w:val="16"/>
          <w:color w:val="auto"/>
        </w:rPr>
        <w:t>: If a license is determined to be distinct from the other promises identified in the arrangement, we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upfront payments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We evaluate the measure of proportional performance each reporting period and, if necessary, adjusts the measure of performance and related revenue recognition.</w:t>
      </w:r>
    </w:p>
    <w:p>
      <w:pPr>
        <w:spacing w:after="0" w:line="164"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At the inception of each arrangement that includes research, development, or regulatory milestone payments, we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milestones are considered probable of being reached and estimates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188"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i w:val="1"/>
          <w:iCs w:val="1"/>
          <w:color w:val="auto"/>
        </w:rPr>
        <w:t>Sales-based milestones and royalties</w:t>
      </w:r>
      <w:r>
        <w:rPr>
          <w:rFonts w:ascii="Arial" w:cs="Arial" w:eastAsia="Arial" w:hAnsi="Arial"/>
          <w:sz w:val="17"/>
          <w:szCs w:val="17"/>
          <w:color w:val="auto"/>
        </w:rPr>
        <w:t>: For arrangements that include sales-based milestone or royalty payments based on the level of sales, and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sales-based milestone or royalties relate to, we recognize revenue in the period in which the sales-based milestone is achieved and in the period in which the sales associated with the royalty occur. To date, we have not recognized any sales-based milestone or royalty revenue resulting from our collaboration arrangements.</w:t>
      </w:r>
    </w:p>
    <w:p>
      <w:pPr>
        <w:spacing w:after="0" w:line="171"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i w:val="1"/>
          <w:iCs w:val="1"/>
          <w:color w:val="auto"/>
        </w:rPr>
        <w:t>Customer options</w:t>
      </w:r>
      <w:r>
        <w:rPr>
          <w:rFonts w:ascii="Arial" w:cs="Arial" w:eastAsia="Arial" w:hAnsi="Arial"/>
          <w:sz w:val="16"/>
          <w:szCs w:val="16"/>
          <w:color w:val="auto"/>
        </w:rPr>
        <w:t>: Customer options, such as options granted to allow a licensee to extend a license or research term, to select additional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we allocate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165"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Deferred revenue, which is a contract liability, represents amounts received by us for which the related revenues have not been recognized because one or more of the revenue recognition criteria have not been met. The current portion of deferred revenue represents the amount to be recognized within one year from the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revenue was derived from customers located in the United States during the years ended November 30, 2020 and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We account for stock-based compensation using a fair value-based method, which requires the recognition of compensation expense for costs related to all stock-based payments including stock options and purchase rights under the employee stock purchase plan. We estimate the fair value of stock-based payment awards on the date of grant using the Black-Scholes option pricing model. The model requires management to make a number of assumptions including expected volatility, expected term, risk-free interest rate and expected dividend yield. Prior to our IPO, the fair value of our common stock was determined by our board of directors with assistance from management and an independent third party valuation firm, using significant judgment and several factors including important developments in our operations, sales of preferred stock and the lack of liquidity of the common stock. Subsequent to the IPO, we determine the fair value using the market closing price of our common stock on the date of grant.</w:t>
      </w:r>
    </w:p>
    <w:p>
      <w:pPr>
        <w:spacing w:after="0" w:line="177"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 xml:space="preserve">For stock-based payments with service conditions only, we use the straight-line method to allocate compensation cost to reporting periods over the requisite service period, which is generally the vesting period. Subsequent to the adoption of ASU 2018-07, </w:t>
      </w:r>
      <w:r>
        <w:rPr>
          <w:rFonts w:ascii="Arial" w:cs="Arial" w:eastAsia="Arial" w:hAnsi="Arial"/>
          <w:sz w:val="17"/>
          <w:szCs w:val="17"/>
          <w:i w:val="1"/>
          <w:iCs w:val="1"/>
          <w:color w:val="auto"/>
        </w:rPr>
        <w:t>Stock Compensation (Topic 718):</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to Nonemployee Share-Based Payment Accounting </w:t>
      </w:r>
      <w:r>
        <w:rPr>
          <w:rFonts w:ascii="Arial" w:cs="Arial" w:eastAsia="Arial" w:hAnsi="Arial"/>
          <w:sz w:val="17"/>
          <w:szCs w:val="17"/>
          <w:color w:val="auto"/>
        </w:rPr>
        <w:t>as of December 1, 2019, stock-based compensation expense for non-employee stock-based awards is also measured based on the grant date fair value with the estimated fair value expensed over the period for which the non-employee is required to provide service in exchange for the award. For stock-based payments with performance conditions, we evaluate the probability of achieving performance conditions at each reporting date. We begin to recognize compensation cost using an accelerated attribution method when it is deemed probable that the performance condition will be met. We account for forfeitures as they occur.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in management’s estimate, it is more likely than not, that the deferred tax assets will not be recovered.</w:t>
      </w:r>
    </w:p>
    <w:p>
      <w:pPr>
        <w:spacing w:after="0" w:line="79"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Financial statement effects of uncertain tax positions are recognized when it is more likely than not, based on the technical merits of the position, that it will be sustained upon examination. It is our policy to include penalties and interest expense related to income taxes as a component of the provision for income taxes.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November 30,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Year ended November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2020 vs 2019</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7,983</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(22,236)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(42,747)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income</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(42,317)</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-8692.1%</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Collaboration revenue for the years ended November 30, 2020 and 2019 includes related party revenue of $0 and $28.4 million, respectively.</w:t>
      </w:r>
    </w:p>
    <w:p>
      <w:pPr>
        <w:spacing w:after="0" w:line="236"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collaboration revenue for the years ended November 30, 2020 and 2019 is summarized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November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2020 vs 2019</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Celgene</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Gilead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9,454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Sanofi</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 collaboration revenue</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Our collaboration revenue decreased by $13.3 million for the year ended November 30, 2020 compared with the year ended November 30, 2019. The decrease in collaboration revenue was primarily attributable to the termination of the Celgene Agreement in June 2019, offset by an increase in revenue recognized related to the Gilead Agreement and the revenue related to the Sanofi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research and development expenses for the years ended November 30, 2020 and 2019 are summarized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Year ended November 30,</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2020 vs 2019</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personnel costs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Supplies and contract research</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16,449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7,741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5"/>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Preclinical activities and contract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manufacturing</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Facility and other costs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66,494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45,025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21,469</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Our research and development expenses increased by $21.5 million, or 47.7%, during the year ended November 30, 2020, compared to the year ended November 30, 2019. The increase was primarily related to an increase of $7.7 million in supplies and contract research attributable to increases in our preclinical development activities and drug discovery research. There was also an increase of $7.1 million in compensation and related personnel costs attributable to an increase in headcount and higher non-cash stock-based compensation expense due to additional stock awards granted since November 30, 2019. Preclinical activities and contract manufacturing costs increased by $5.2 million, primarily due to preparation for upcoming clinical programs for our lead drug candidates.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Our general and administrative expenses increased by $8.0 million, or 95.9%, during the year ended November 30, 2020, compared to the year ended November 30, 2019. The increase was primarily related to an increase of $4.0 million in compensation related expenses attributable to a higher headcount and non-cash stock-based compensation expense. We also had an increase of $1.8 million in legal and accounting expenses mainly related to external audit and legal fees and an increase of $1.9 million in consultant, insurance and other professional service expenses primarily related to becoming a public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Interest and other income, net was $1.2 million and $0.8 million for the years ended November 30, 2020 and 2019, respectively. The increase was primarily related to interest received as part of the tax refund for a carryback claim that we filed in April 2020 in connection with the CARES Act. Other than the interest earned on tax refund, interest and other income, net in all periods is mainly related to interest earned on our deposits, money market funds and investments.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The provision for income taxes was a benefit of $20.5 million and an expense of $0.2 million during the years ended November 30, 2020 and 2019, respectively, and was related to a discrete tax benefit, which consists of carryback claims and the reversal of the uncertain tax liability related to research and development tax credits as a result of the CARES Act that was enacted on March 27, 2020 in response to the COVID-19 pandemic.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July 23, 2020, our registration statement on Form S-1 (File No. 333-239651) relating to our IPO of common stock became effective. The IPO closed on July 28, 2020 at which time we issued 11,000,000 shares of our common stock at a price to the public of $19.00 per share. In addition, the underwriters exercised their option to purchase an additional 1,550,000 shares of our common stock on July 31, 2020, and this transaction closed on August 4, 2020. Net proceeds from the IPO and the transaction with the underwriters were approximately $218.1 million, after deducting underwriting discounts and commissions of $16.7 million and expenses of $3.6 million.</w:t>
      </w:r>
    </w:p>
    <w:p>
      <w:pPr>
        <w:spacing w:after="0" w:line="188"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To date, our operations have been funded through the issuance of common and redeemable convertible preferred stock and proceeds from collaboration agreements. We do not have any products approved for sale, and we have not generated any revenue from product sales. As of November 30, 2020, we had $372.0 million in cash, cash equivalents and investments.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March 2020, we closed a sale of our Series D redeemable convertible preferred stock that resulted in net proceeds of $119.9 million.</w:t>
      </w:r>
    </w:p>
    <w:p>
      <w:pPr>
        <w:spacing w:after="0" w:line="237" w:lineRule="exact"/>
        <w:rPr>
          <w:sz w:val="20"/>
          <w:szCs w:val="20"/>
          <w:color w:val="auto"/>
        </w:rPr>
      </w:pPr>
    </w:p>
    <w:p>
      <w:pPr>
        <w:ind w:right="260" w:firstLine="589"/>
        <w:spacing w:after="0" w:line="279" w:lineRule="auto"/>
        <w:rPr>
          <w:sz w:val="20"/>
          <w:szCs w:val="20"/>
          <w:color w:val="auto"/>
        </w:rPr>
      </w:pPr>
      <w:r>
        <w:rPr>
          <w:rFonts w:ascii="Arial" w:cs="Arial" w:eastAsia="Arial" w:hAnsi="Arial"/>
          <w:sz w:val="17"/>
          <w:szCs w:val="17"/>
          <w:color w:val="auto"/>
        </w:rPr>
        <w:t>In December 2019, we entered into the Sanofi Agreement, pursuant to which we received an upfront payment of $55.0 million in January 2020. Subsequently in January 2021, Sanofi paid us an additional $22.0 million to exercise its option to expand the number of targets beyond the initial targets included in the collaboration. In fiscal 2020, we received $3.5 million under the Gilead Agreement for milestones and additional fees. Subsequently in January 2021, we received an additional $7.5 million from Gilead for additional milestones.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expect that our existing cash, cash equivalents and investments are sufficient to continue operating activities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17" w:lineRule="exact"/>
        <w:rPr>
          <w:sz w:val="20"/>
          <w:szCs w:val="20"/>
          <w:color w:val="auto"/>
        </w:rPr>
      </w:pPr>
    </w:p>
    <w:p>
      <w:pPr>
        <w:ind w:left="1160" w:right="12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progress, costs and results of our planned Phase 1 clinical trials for our lead product candidates NX-2127 and NX-1607 and other drug candidates, and any future clinical development of such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scope, progress, costs and results of preclinical and clinical development for our other product candidates and development programs;</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scope of, and costs associated with, future advancements to our DELigase platform;</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our collaborations with Sanofi, Gilead and any other collaborations we may establish;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8" w:name="page109"/>
    <w:bookmarkEnd w:id="108"/>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2"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establish additional collaboration arrangements with other biotechnology or pharmaceutical companies on favorable terms, if at all, for the development or commercialization of our product candidates.</w:t>
      </w:r>
    </w:p>
    <w:p>
      <w:pPr>
        <w:spacing w:after="0" w:line="170"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cash flows during the periods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November 30,</w:t>
            </w:r>
          </w:p>
        </w:tc>
        <w:tc>
          <w:tcPr>
            <w:tcW w:w="0" w:type="dxa"/>
            <w:vAlign w:val="bottom"/>
          </w:tcPr>
          <w:p>
            <w:pPr>
              <w:spacing w:after="0"/>
              <w:rPr>
                <w:sz w:val="1"/>
                <w:szCs w:val="1"/>
                <w:color w:val="auto"/>
              </w:rPr>
            </w:pPr>
          </w:p>
        </w:tc>
      </w:tr>
      <w:tr>
        <w:trPr>
          <w:trHeight w:val="155"/>
        </w:trPr>
        <w:tc>
          <w:tcPr>
            <w:tcW w:w="52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 operating activities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(254,404)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339,024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8"/>
                <w:szCs w:val="18"/>
                <w:color w:val="auto"/>
              </w:rPr>
              <w:t>Net increase in cash, cash equivalents and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84,540</w:t>
            </w:r>
          </w:p>
        </w:tc>
        <w:tc>
          <w:tcPr>
            <w:tcW w:w="20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Net cash used in operating activities was $0.1 million for the year ended November 30, 2020 and consisted of a decrease in net assets of $36.4 million and non-cash adjustments of $6.8 million, offset by our net loss of $43.2 million. The decrease in net assets consisted primarily of an increase in deferred revenue of $48.2 million related to proceeds received pursuant to the Sanofi Agreement and offset by revenue recognized pursuant to the Sanofi Agreement and the Gilead Agreement. The decrease in net assets was offset by an increase in contract assets of $7.5 related to unbilled revenue for Gilead milestones and an increase in income tax receivables of $3.9 million related to NOL carryback claims as a result of the CARES Act. Non-cash adjustments primarily consisted of stock-based compensation expenses of $4.3 million and depreciation and amortization expenses of $2.2 million.</w:t>
      </w:r>
    </w:p>
    <w:p>
      <w:pPr>
        <w:spacing w:after="0" w:line="164"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Net cash provided by operating activities was $0.6 million for the year ended November 30, 2019 and consisted of a decrease in net assets of $19.5 million and non-cash adjustments of $2.8 million, offset by our net loss of $21.7 million. The decrease in net assets consisted primarily of an increase in deferred revenue of $16.9 million related to $48.0 million in proceeds received pursuant to the Gilead Agreement and offset by $31.1 million in revenue recognized pursuant to the Celgene Agreement and the Gilead Agreement and an increase in accrued and other liabilities of $2.4 million primarily related to an increase in accrued compensation from higher incentive compensation. Non-cash adjustments primarily consisted of depreciation and amortization expenses of $2.4 million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720" w:firstLine="589"/>
        <w:spacing w:after="0" w:line="342" w:lineRule="auto"/>
        <w:rPr>
          <w:sz w:val="20"/>
          <w:szCs w:val="20"/>
          <w:color w:val="auto"/>
        </w:rPr>
      </w:pPr>
      <w:r>
        <w:rPr>
          <w:rFonts w:ascii="Arial" w:cs="Arial" w:eastAsia="Arial" w:hAnsi="Arial"/>
          <w:sz w:val="16"/>
          <w:szCs w:val="16"/>
          <w:color w:val="auto"/>
        </w:rPr>
        <w:t>Net cash used in investing activities was $254.4 million for the year ended November 30, 2020 and consisted primarily of the purchase of investments of $275.2 million and purchases of property and equipment of $4.6 million, offset by the maturity of investments of $25.4 million.</w:t>
      </w:r>
    </w:p>
    <w:p>
      <w:pPr>
        <w:spacing w:after="0" w:line="124" w:lineRule="exact"/>
        <w:rPr>
          <w:sz w:val="20"/>
          <w:szCs w:val="20"/>
          <w:color w:val="auto"/>
        </w:rPr>
      </w:pPr>
    </w:p>
    <w:p>
      <w:pPr>
        <w:ind w:right="740" w:firstLine="589"/>
        <w:spacing w:after="0" w:line="277" w:lineRule="auto"/>
        <w:rPr>
          <w:sz w:val="20"/>
          <w:szCs w:val="20"/>
          <w:color w:val="auto"/>
        </w:rPr>
      </w:pPr>
      <w:r>
        <w:rPr>
          <w:rFonts w:ascii="Arial" w:cs="Arial" w:eastAsia="Arial" w:hAnsi="Arial"/>
          <w:sz w:val="18"/>
          <w:szCs w:val="18"/>
          <w:color w:val="auto"/>
        </w:rPr>
        <w:t>Net cash provided by investing activities was $8.5 million for the year ended November 30, 2019 and consisted primarily of maturities of investments of $19.5 million, offset by the purchase of investments of $9.4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60" w:firstLine="589"/>
        <w:spacing w:after="0" w:line="308" w:lineRule="auto"/>
        <w:rPr>
          <w:sz w:val="20"/>
          <w:szCs w:val="20"/>
          <w:color w:val="auto"/>
        </w:rPr>
      </w:pPr>
      <w:r>
        <w:rPr>
          <w:rFonts w:ascii="Arial" w:cs="Arial" w:eastAsia="Arial" w:hAnsi="Arial"/>
          <w:sz w:val="17"/>
          <w:szCs w:val="17"/>
          <w:color w:val="auto"/>
        </w:rPr>
        <w:t>Net cash provided by financing activities was $339.0 million for the year ended November 30, 2020 and consisted primarily of net proceeds from issuance of common stock related to our IPO in July 2020 and the sale of our Series D redeemable convertible preferred stock in March 2020.</w:t>
      </w:r>
    </w:p>
    <w:p>
      <w:pPr>
        <w:spacing w:after="0" w:line="146"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Net cash provided by financing activities was $0.1 million for the year ended November 30, 2019 and consisted primarily of proceeds from the exercise of stock options of $0.1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contractual obligations as of November 30,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4"/>
                <w:szCs w:val="14"/>
                <w:b w:val="1"/>
                <w:bCs w:val="1"/>
                <w:color w:val="auto"/>
                <w:w w:val="90"/>
              </w:rPr>
              <w:t>Payments due by period</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19"/>
              <w:spacing w:after="0" w:line="133" w:lineRule="exact"/>
              <w:rPr>
                <w:sz w:val="20"/>
                <w:szCs w:val="20"/>
                <w:color w:val="auto"/>
              </w:rPr>
            </w:pPr>
            <w:r>
              <w:rPr>
                <w:rFonts w:ascii="Arial" w:cs="Arial" w:eastAsia="Arial" w:hAnsi="Arial"/>
                <w:sz w:val="14"/>
                <w:szCs w:val="14"/>
                <w:b w:val="1"/>
                <w:bCs w:val="1"/>
                <w:color w:val="auto"/>
                <w:w w:val="97"/>
              </w:rPr>
              <w:t>Less than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0"/>
              </w:rPr>
              <w:t>1 to 3 years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3 to 5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More than</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5 years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6,803</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 These payments are not included in the table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not entered into any off-balance sheet arrangements as defined in Item 303 of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right="80" w:firstLine="589"/>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(the JOBS Act). We will remain an EGC until the earliest of: (i) the last day of the fiscal year in which we have total annual gross revenues of $1.07 billion or more; (ii) the last day of the fiscal year following the fifth anniversary of the completion of our initial public offering; (iii) the date on which we have issued more than</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$1.0 billion in nonconvertible debt during the previous three years; or (iv) the date on which we are deemed to be a large accelerated filer under the rules of the SEC, which generally is when a company has more than $700.0 million in market value of its stock held by non-affiliates as of the prior May 31, has been a public company for at least 12 months and has filed one annual report on Form 10-K.</w:t>
      </w:r>
    </w:p>
    <w:p>
      <w:pPr>
        <w:spacing w:after="0" w:line="190"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Under the JOBS Act, EGCs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EGC or</w:t>
      </w:r>
    </w:p>
    <w:p>
      <w:pPr>
        <w:spacing w:after="0" w:line="2" w:lineRule="exact"/>
        <w:rPr>
          <w:sz w:val="20"/>
          <w:szCs w:val="20"/>
          <w:color w:val="auto"/>
        </w:rPr>
      </w:pPr>
    </w:p>
    <w:p>
      <w:pPr>
        <w:ind w:right="260" w:firstLine="8"/>
        <w:spacing w:after="0" w:line="290" w:lineRule="auto"/>
        <w:tabs>
          <w:tab w:leader="none" w:pos="26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0" w:name="page111"/>
    <w:bookmarkEnd w:id="110"/>
    <w:p>
      <w:pPr>
        <w:ind w:firstLine="589"/>
        <w:spacing w:after="0" w:line="271" w:lineRule="auto"/>
        <w:rPr>
          <w:sz w:val="20"/>
          <w:szCs w:val="20"/>
          <w:color w:val="auto"/>
        </w:rPr>
      </w:pPr>
      <w:r>
        <w:rPr>
          <w:rFonts w:ascii="Arial" w:cs="Arial" w:eastAsia="Arial" w:hAnsi="Arial"/>
          <w:sz w:val="17"/>
          <w:szCs w:val="17"/>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 over financial reporting pursuant to Section 404(b) of the Sarbanes-Oxley Act; (ii) provide all of the compensation disclosure that may be required of non-EGCs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78"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as of the prior May 31 and our annual revenue is less than $100.0 million during the most recently completed fiscal year. We may continue to be a smaller reporting company if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a “smaller reporting company” as defined by Item 10 of Regulation S-K, we are not required to provide this information.</w:t>
      </w: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20" w:type="dxa"/>
            <w:vAlign w:val="bottom"/>
          </w:tcPr>
          <w:p>
            <w:pPr>
              <w:spacing w:after="0"/>
              <w:rPr>
                <w:sz w:val="20"/>
                <w:szCs w:val="20"/>
                <w:color w:val="auto"/>
              </w:rPr>
            </w:pPr>
          </w:p>
        </w:tc>
      </w:tr>
      <w:tr>
        <w:trPr>
          <w:trHeight w:val="432"/>
        </w:trPr>
        <w:tc>
          <w:tcPr>
            <w:tcW w:w="9240" w:type="dxa"/>
            <w:vAlign w:val="bottom"/>
          </w:tcPr>
          <w:p>
            <w:pPr>
              <w:ind w:left="4020"/>
              <w:spacing w:after="0"/>
              <w:rPr>
                <w:sz w:val="20"/>
                <w:szCs w:val="20"/>
                <w:color w:val="auto"/>
              </w:rPr>
            </w:pPr>
            <w:r>
              <w:rPr>
                <w:rFonts w:ascii="Arial" w:cs="Arial" w:eastAsia="Arial" w:hAnsi="Arial"/>
                <w:sz w:val="18"/>
                <w:szCs w:val="18"/>
                <w:b w:val="1"/>
                <w:bCs w:val="1"/>
                <w:color w:val="auto"/>
              </w:rPr>
              <w:t>INDEX TO FINANCIAL STATEMENTS</w:t>
            </w:r>
          </w:p>
        </w:tc>
        <w:tc>
          <w:tcPr>
            <w:tcW w:w="2020" w:type="dxa"/>
            <w:vAlign w:val="bottom"/>
          </w:tcPr>
          <w:p>
            <w:pPr>
              <w:spacing w:after="0"/>
              <w:rPr>
                <w:sz w:val="24"/>
                <w:szCs w:val="24"/>
                <w:color w:val="auto"/>
              </w:rPr>
            </w:pPr>
          </w:p>
        </w:tc>
      </w:tr>
      <w:tr>
        <w:trPr>
          <w:trHeight w:val="446"/>
        </w:trPr>
        <w:tc>
          <w:tcPr>
            <w:tcW w:w="9240" w:type="dxa"/>
            <w:vAlign w:val="bottom"/>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Report of Independent Registered Public Accounting Firm</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59"/>
        </w:trPr>
        <w:tc>
          <w:tcPr>
            <w:tcW w:w="924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Consolidated Balance Sheets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459"/>
        </w:trPr>
        <w:tc>
          <w:tcPr>
            <w:tcW w:w="924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Consolidated Statements of Operations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59"/>
        </w:trPr>
        <w:tc>
          <w:tcPr>
            <w:tcW w:w="924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Consolidated Statements of Comprehensive Loss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59"/>
        </w:trPr>
        <w:tc>
          <w:tcPr>
            <w:tcW w:w="924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Consolidated Statements of Redeemable Convertible Preferred Stock and Stockholders’ Equity (Deficit)</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59"/>
        </w:trPr>
        <w:tc>
          <w:tcPr>
            <w:tcW w:w="924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Consolidated Statements of Cash Flows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59"/>
        </w:trPr>
        <w:tc>
          <w:tcPr>
            <w:tcW w:w="924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Notes to Consolidated Financial Statements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878"/>
        </w:trPr>
        <w:tc>
          <w:tcPr>
            <w:tcW w:w="9240" w:type="dxa"/>
            <w:vAlign w:val="bottom"/>
          </w:tcPr>
          <w:p>
            <w:pPr>
              <w:ind w:left="5500"/>
              <w:spacing w:after="0"/>
              <w:rPr>
                <w:sz w:val="20"/>
                <w:szCs w:val="20"/>
                <w:color w:val="auto"/>
              </w:rPr>
            </w:pPr>
            <w:r>
              <w:rPr>
                <w:rFonts w:ascii="Arial" w:cs="Arial" w:eastAsia="Arial" w:hAnsi="Arial"/>
                <w:sz w:val="18"/>
                <w:szCs w:val="18"/>
                <w:color w:val="auto"/>
              </w:rPr>
              <w:t>111</w:t>
            </w:r>
          </w:p>
        </w:tc>
        <w:tc>
          <w:tcPr>
            <w:tcW w:w="2020" w:type="dxa"/>
            <w:vAlign w:val="bottom"/>
          </w:tcPr>
          <w:p>
            <w:pPr>
              <w:spacing w:after="0"/>
              <w:rPr>
                <w:sz w:val="24"/>
                <w:szCs w:val="24"/>
                <w:color w:val="auto"/>
              </w:rPr>
            </w:pPr>
          </w:p>
        </w:tc>
      </w:tr>
      <w:tr>
        <w:trPr>
          <w:trHeight w:val="115"/>
        </w:trPr>
        <w:tc>
          <w:tcPr>
            <w:tcW w:w="92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Nurix Therapeutics,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Nurix Therapeutics, Inc. and its subsidiary (the “Company”) as of November 30, 2020 and 2019, and the related consolidated statements of operations, of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November 30, 2020 and 2019, and the results of its operations and its cash flows for the years then ended in conformity with accounting principles generally accepted in the United States of America.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4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November 30,</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119,356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161,792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Income tax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5,940</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298,434</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90,890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6,672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396,343</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44,048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equity (deficit)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3,412</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32,799</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44,539</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 net of current portion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60,685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106,074</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and contingencies (Note 6)</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Redeemable convertible preferred stock, $0.001 par value— 0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48,441,667 shares authorized as of November 30, 2020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November 30, 2019, respectively; 0 and 12,813,887 shares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issued and outstanding (liquidation value—$0 and $48,383)</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as of November 30, 2020 and November 30, 2019, respectively</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equity (deficit):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 $0.001 par value— 10,000,000 and 0 shares authorized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as of November 30, 2020 and November 30, 2019, respectively;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0 shares issued and outstanding as of November 30, 2020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November 30, 2019, respectively</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500,000,000 and 65,000,000 shares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as of November 30, 2020 and November 30, 2019,</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 38,864,872 and 3,595,334 shares issued and outstanding</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 of November 30, 2020 and November 30, 2019, respectively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393,841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(103,698)</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(60,456)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stockholders’ equity (deficit)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290,269</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740"/>
              <w:spacing w:after="0"/>
              <w:rPr>
                <w:sz w:val="20"/>
                <w:szCs w:val="20"/>
                <w:color w:val="auto"/>
              </w:rPr>
            </w:pPr>
            <w:r>
              <w:rPr>
                <w:rFonts w:ascii="Arial" w:cs="Arial" w:eastAsia="Arial" w:hAnsi="Arial"/>
                <w:sz w:val="18"/>
                <w:szCs w:val="18"/>
                <w:color w:val="auto"/>
              </w:rPr>
              <w:t>Total liabilities, redeemable convertible preferred stock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880"/>
              <w:spacing w:after="0"/>
              <w:rPr>
                <w:sz w:val="20"/>
                <w:szCs w:val="20"/>
                <w:color w:val="auto"/>
              </w:rPr>
            </w:pPr>
            <w:r>
              <w:rPr>
                <w:rFonts w:ascii="Arial" w:cs="Arial" w:eastAsia="Arial" w:hAnsi="Arial"/>
                <w:sz w:val="18"/>
                <w:szCs w:val="18"/>
                <w:color w:val="auto"/>
              </w:rPr>
              <w:t>stockholders’ equity (deficit)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396,343</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ind w:left="540"/>
              <w:spacing w:after="0"/>
              <w:rPr>
                <w:sz w:val="20"/>
                <w:szCs w:val="20"/>
                <w:color w:val="auto"/>
              </w:rPr>
            </w:pPr>
            <w:r>
              <w:rPr>
                <w:rFonts w:ascii="Arial" w:cs="Arial" w:eastAsia="Arial" w:hAnsi="Arial"/>
                <w:sz w:val="14"/>
                <w:szCs w:val="14"/>
                <w:b w:val="1"/>
                <w:bCs w:val="1"/>
                <w:color w:val="auto"/>
              </w:rPr>
              <w:t>Year Ended November 30,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r>
              <w:rPr>
                <w:rFonts w:ascii="Arial" w:cs="Arial" w:eastAsia="Arial" w:hAnsi="Arial"/>
                <w:sz w:val="15"/>
                <w:szCs w:val="15"/>
                <w:color w:val="auto"/>
              </w:rPr>
              <w:t>(1)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82,803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(64,983)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(20,535)</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(43,242)</w:t>
            </w:r>
          </w:p>
        </w:tc>
        <w:tc>
          <w:tcPr>
            <w:tcW w:w="2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15,673,424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3,292,514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left="2480" w:right="460" w:hanging="2472"/>
        <w:spacing w:after="0" w:line="530" w:lineRule="auto"/>
        <w:tabs>
          <w:tab w:leader="none" w:pos="587"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Collaboration revenue for the years ended November 30, 2020, and 2019 includes related party revenue of $0 and $28.4 million, respectively. The accompanying notes are an integral part of these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November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(43,242)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(21,699)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available-for-sale investments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(43,153)</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(21,697)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240"/>
          </w:cols>
          <w:pgMar w:left="320" w:top="337" w:right="339" w:bottom="1440" w:gutter="0" w:footer="0" w:header="0"/>
        </w:sect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Redeemable convertible</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2000" w:type="dxa"/>
            <w:vAlign w:val="bottom"/>
            <w:gridSpan w:val="5"/>
          </w:tcPr>
          <w:p>
            <w:pPr>
              <w:ind w:left="50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56"/>
        </w:trPr>
        <w:tc>
          <w:tcPr>
            <w:tcW w:w="2680" w:type="dxa"/>
            <w:vAlign w:val="bottom"/>
            <w:vMerge w:val="restart"/>
          </w:tcPr>
          <w:p>
            <w:pPr>
              <w:spacing w:after="0"/>
              <w:rPr>
                <w:sz w:val="20"/>
                <w:szCs w:val="20"/>
                <w:color w:val="auto"/>
              </w:rPr>
            </w:pPr>
            <w:r>
              <w:rPr>
                <w:rFonts w:ascii="Arial" w:cs="Arial" w:eastAsia="Arial" w:hAnsi="Arial"/>
                <w:sz w:val="15"/>
                <w:szCs w:val="15"/>
                <w:color w:val="auto"/>
              </w:rPr>
              <w:t>Balance as of November 30,</w:t>
            </w:r>
          </w:p>
        </w:tc>
        <w:tc>
          <w:tcPr>
            <w:tcW w:w="110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3"/>
              <w:spacing w:after="0" w:line="155"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80" w:type="dxa"/>
            <w:vAlign w:val="bottom"/>
            <w:vMerge w:val="continue"/>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120"/>
              <w:spacing w:after="0"/>
              <w:rPr>
                <w:sz w:val="20"/>
                <w:szCs w:val="20"/>
                <w:color w:val="auto"/>
              </w:rPr>
            </w:pPr>
            <w:r>
              <w:rPr>
                <w:rFonts w:ascii="Arial" w:cs="Arial" w:eastAsia="Arial" w:hAnsi="Arial"/>
                <w:sz w:val="15"/>
                <w:szCs w:val="15"/>
                <w:color w:val="auto"/>
              </w:rPr>
              <w:t>2018</w:t>
            </w:r>
          </w:p>
        </w:tc>
        <w:tc>
          <w:tcPr>
            <w:tcW w:w="880" w:type="dxa"/>
            <w:vAlign w:val="bottom"/>
          </w:tcPr>
          <w:p>
            <w:pPr>
              <w:jc w:val="right"/>
              <w:spacing w:after="0"/>
              <w:rPr>
                <w:sz w:val="20"/>
                <w:szCs w:val="20"/>
                <w:color w:val="auto"/>
              </w:rPr>
            </w:pPr>
            <w:r>
              <w:rPr>
                <w:rFonts w:ascii="Arial" w:cs="Arial" w:eastAsia="Arial" w:hAnsi="Arial"/>
                <w:sz w:val="15"/>
                <w:szCs w:val="15"/>
                <w:color w:val="auto"/>
              </w:rPr>
              <w:t>12,813,887</w:t>
            </w:r>
          </w:p>
        </w:tc>
        <w:tc>
          <w:tcPr>
            <w:tcW w:w="2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48,195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60"/>
              <w:spacing w:after="0"/>
              <w:rPr>
                <w:sz w:val="20"/>
                <w:szCs w:val="20"/>
                <w:color w:val="auto"/>
              </w:rPr>
            </w:pPr>
            <w:r>
              <w:rPr>
                <w:rFonts w:ascii="Arial" w:cs="Arial" w:eastAsia="Arial" w:hAnsi="Arial"/>
                <w:sz w:val="15"/>
                <w:szCs w:val="15"/>
                <w:color w:val="auto"/>
              </w:rPr>
              <w:t>Exercise of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Repurchase of unvested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early exercised stock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options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Vesting of early-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exercised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Stock-based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compensation</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Unrealized gain 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available-for-sale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360"/>
              <w:spacing w:after="0"/>
              <w:rPr>
                <w:sz w:val="20"/>
                <w:szCs w:val="20"/>
                <w:color w:val="auto"/>
              </w:rPr>
            </w:pPr>
            <w:r>
              <w:rPr>
                <w:rFonts w:ascii="Arial" w:cs="Arial" w:eastAsia="Arial" w:hAnsi="Arial"/>
                <w:sz w:val="15"/>
                <w:szCs w:val="15"/>
                <w:color w:val="auto"/>
              </w:rPr>
              <w:t>investments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680" w:type="dxa"/>
            <w:vAlign w:val="bottom"/>
          </w:tcPr>
          <w:p>
            <w:pPr>
              <w:ind w:left="260"/>
              <w:spacing w:after="0"/>
              <w:rPr>
                <w:sz w:val="20"/>
                <w:szCs w:val="20"/>
                <w:color w:val="auto"/>
              </w:rPr>
            </w:pPr>
            <w:r>
              <w:rPr>
                <w:rFonts w:ascii="Arial" w:cs="Arial" w:eastAsia="Arial" w:hAnsi="Arial"/>
                <w:sz w:val="15"/>
                <w:szCs w:val="15"/>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680" w:type="dxa"/>
            <w:vAlign w:val="bottom"/>
          </w:tcPr>
          <w:p>
            <w:pPr>
              <w:spacing w:after="0" w:line="156" w:lineRule="exact"/>
              <w:rPr>
                <w:sz w:val="20"/>
                <w:szCs w:val="20"/>
                <w:color w:val="auto"/>
              </w:rPr>
            </w:pPr>
            <w:r>
              <w:rPr>
                <w:rFonts w:ascii="Arial" w:cs="Arial" w:eastAsia="Arial" w:hAnsi="Arial"/>
                <w:sz w:val="15"/>
                <w:szCs w:val="15"/>
                <w:color w:val="auto"/>
              </w:rPr>
              <w:t>Balance as of November 30,</w:t>
            </w: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120"/>
              <w:spacing w:after="0"/>
              <w:rPr>
                <w:sz w:val="20"/>
                <w:szCs w:val="20"/>
                <w:color w:val="auto"/>
              </w:rPr>
            </w:pPr>
            <w:r>
              <w:rPr>
                <w:rFonts w:ascii="Arial" w:cs="Arial" w:eastAsia="Arial" w:hAnsi="Arial"/>
                <w:sz w:val="15"/>
                <w:szCs w:val="15"/>
                <w:color w:val="auto"/>
              </w:rPr>
              <w:t>2019</w:t>
            </w:r>
          </w:p>
        </w:tc>
        <w:tc>
          <w:tcPr>
            <w:tcW w:w="880" w:type="dxa"/>
            <w:vAlign w:val="bottom"/>
          </w:tcPr>
          <w:p>
            <w:pPr>
              <w:jc w:val="right"/>
              <w:spacing w:after="0"/>
              <w:rPr>
                <w:sz w:val="20"/>
                <w:szCs w:val="20"/>
                <w:color w:val="auto"/>
              </w:rPr>
            </w:pPr>
            <w:r>
              <w:rPr>
                <w:rFonts w:ascii="Arial" w:cs="Arial" w:eastAsia="Arial" w:hAnsi="Arial"/>
                <w:sz w:val="15"/>
                <w:szCs w:val="15"/>
                <w:color w:val="auto"/>
              </w:rPr>
              <w:t>12,813,887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48,195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Issuance of Series 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redeemable 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preferred stock at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$12.75 per share, net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issuance costs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360"/>
              <w:spacing w:after="0"/>
              <w:rPr>
                <w:sz w:val="20"/>
                <w:szCs w:val="20"/>
                <w:color w:val="auto"/>
              </w:rPr>
            </w:pPr>
            <w:r>
              <w:rPr>
                <w:rFonts w:ascii="Arial" w:cs="Arial" w:eastAsia="Arial" w:hAnsi="Arial"/>
                <w:sz w:val="15"/>
                <w:szCs w:val="15"/>
                <w:color w:val="auto"/>
              </w:rPr>
              <w:t>$336</w:t>
            </w:r>
          </w:p>
        </w:tc>
        <w:tc>
          <w:tcPr>
            <w:tcW w:w="880" w:type="dxa"/>
            <w:vAlign w:val="bottom"/>
          </w:tcPr>
          <w:p>
            <w:pPr>
              <w:jc w:val="right"/>
              <w:spacing w:after="0"/>
              <w:rPr>
                <w:sz w:val="20"/>
                <w:szCs w:val="20"/>
                <w:color w:val="auto"/>
              </w:rPr>
            </w:pPr>
            <w:r>
              <w:rPr>
                <w:rFonts w:ascii="Arial" w:cs="Arial" w:eastAsia="Arial" w:hAnsi="Arial"/>
                <w:sz w:val="15"/>
                <w:szCs w:val="15"/>
                <w:color w:val="auto"/>
              </w:rPr>
              <w:t>9,431,364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119,914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Conversion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redeemable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preferred stock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360"/>
              <w:spacing w:after="0"/>
              <w:rPr>
                <w:sz w:val="20"/>
                <w:szCs w:val="20"/>
                <w:color w:val="auto"/>
              </w:rPr>
            </w:pPr>
            <w:r>
              <w:rPr>
                <w:rFonts w:ascii="Arial" w:cs="Arial" w:eastAsia="Arial" w:hAnsi="Arial"/>
                <w:sz w:val="15"/>
                <w:szCs w:val="15"/>
                <w:color w:val="auto"/>
              </w:rPr>
              <w:t>into common stock</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(22,245,251)</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(168,109)</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Issuance of common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stock upon initial</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public offering, net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offering costs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$20,304</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680" w:type="dxa"/>
            <w:vAlign w:val="bottom"/>
          </w:tcPr>
          <w:p>
            <w:pPr>
              <w:ind w:left="260"/>
              <w:spacing w:after="0"/>
              <w:rPr>
                <w:sz w:val="20"/>
                <w:szCs w:val="20"/>
                <w:color w:val="auto"/>
              </w:rPr>
            </w:pPr>
            <w:r>
              <w:rPr>
                <w:rFonts w:ascii="Arial" w:cs="Arial" w:eastAsia="Arial" w:hAnsi="Arial"/>
                <w:sz w:val="15"/>
                <w:szCs w:val="15"/>
                <w:color w:val="auto"/>
              </w:rPr>
              <w:t>Exercise of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Repurchase of unvested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early exercised stock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options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Vesting of early-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exercised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Stock-based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compensation</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Unrealized gain 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available-for-sale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investments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680" w:type="dxa"/>
            <w:vAlign w:val="bottom"/>
          </w:tcPr>
          <w:p>
            <w:pPr>
              <w:ind w:left="260"/>
              <w:spacing w:after="0"/>
              <w:rPr>
                <w:sz w:val="20"/>
                <w:szCs w:val="20"/>
                <w:color w:val="auto"/>
              </w:rPr>
            </w:pPr>
            <w:r>
              <w:rPr>
                <w:rFonts w:ascii="Arial" w:cs="Arial" w:eastAsia="Arial" w:hAnsi="Arial"/>
                <w:sz w:val="15"/>
                <w:szCs w:val="15"/>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line="156" w:lineRule="exact"/>
              <w:rPr>
                <w:sz w:val="20"/>
                <w:szCs w:val="20"/>
                <w:color w:val="auto"/>
              </w:rPr>
            </w:pPr>
            <w:r>
              <w:rPr>
                <w:rFonts w:ascii="Arial" w:cs="Arial" w:eastAsia="Arial" w:hAnsi="Arial"/>
                <w:sz w:val="15"/>
                <w:szCs w:val="15"/>
                <w:color w:val="auto"/>
              </w:rPr>
              <w:t>Balance as of November 30,</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680" w:type="dxa"/>
            <w:vAlign w:val="bottom"/>
          </w:tcPr>
          <w:p>
            <w:pPr>
              <w:ind w:left="120"/>
              <w:spacing w:after="0"/>
              <w:rPr>
                <w:sz w:val="20"/>
                <w:szCs w:val="20"/>
                <w:color w:val="auto"/>
              </w:rPr>
            </w:pPr>
            <w:r>
              <w:rPr>
                <w:rFonts w:ascii="Arial" w:cs="Arial" w:eastAsia="Arial" w:hAnsi="Arial"/>
                <w:sz w:val="15"/>
                <w:szCs w:val="15"/>
                <w:color w:val="auto"/>
              </w:rPr>
              <w:t>2020</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76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1760" w:type="dxa"/>
            <w:vAlign w:val="bottom"/>
            <w:tcBorders>
              <w:bottom w:val="single" w:sz="8" w:color="auto"/>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4"/>
              <w:spacing w:after="0"/>
              <w:rPr>
                <w:sz w:val="20"/>
                <w:szCs w:val="20"/>
                <w:color w:val="auto"/>
              </w:rPr>
            </w:pPr>
            <w:r>
              <w:rPr>
                <w:rFonts w:ascii="Arial" w:cs="Arial" w:eastAsia="Arial" w:hAnsi="Arial"/>
                <w:sz w:val="14"/>
                <w:szCs w:val="14"/>
                <w:b w:val="1"/>
                <w:bCs w:val="1"/>
                <w:color w:val="auto"/>
                <w:w w:val="95"/>
              </w:rPr>
              <w:t>paid-in</w:t>
            </w: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860" w:type="dxa"/>
            <w:vAlign w:val="bottom"/>
            <w:tcBorders>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0"/>
              </w:rPr>
              <w:t>capital</w:t>
            </w:r>
          </w:p>
        </w:tc>
        <w:tc>
          <w:tcPr>
            <w:tcW w:w="20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44"/>
              <w:spacing w:after="0" w:line="155" w:lineRule="exact"/>
              <w:rPr>
                <w:sz w:val="20"/>
                <w:szCs w:val="20"/>
                <w:color w:val="auto"/>
              </w:rPr>
            </w:pPr>
            <w:r>
              <w:rPr>
                <w:rFonts w:ascii="Arial" w:cs="Arial" w:eastAsia="Arial" w:hAnsi="Arial"/>
                <w:sz w:val="14"/>
                <w:szCs w:val="14"/>
                <w:b w:val="1"/>
                <w:bCs w:val="1"/>
                <w:color w:val="auto"/>
                <w:w w:val="94"/>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860" w:type="dxa"/>
            <w:vAlign w:val="bottom"/>
          </w:tcPr>
          <w:p>
            <w:pPr>
              <w:jc w:val="right"/>
              <w:spacing w:after="0"/>
              <w:rPr>
                <w:sz w:val="20"/>
                <w:szCs w:val="20"/>
                <w:color w:val="auto"/>
              </w:rPr>
            </w:pPr>
            <w:r>
              <w:rPr>
                <w:rFonts w:ascii="Arial" w:cs="Arial" w:eastAsia="Arial" w:hAnsi="Arial"/>
                <w:sz w:val="15"/>
                <w:szCs w:val="15"/>
                <w:color w:val="auto"/>
              </w:rPr>
              <w:t>3,452,653</w:t>
            </w:r>
          </w:p>
        </w:tc>
        <w:tc>
          <w:tcPr>
            <w:tcW w:w="140" w:type="dxa"/>
            <w:vAlign w:val="bottom"/>
          </w:tcPr>
          <w:p>
            <w:pPr>
              <w:spacing w:after="0"/>
              <w:rPr>
                <w:sz w:val="24"/>
                <w:szCs w:val="24"/>
                <w:color w:val="auto"/>
              </w:rPr>
            </w:pPr>
          </w:p>
        </w:tc>
        <w:tc>
          <w:tcPr>
            <w:tcW w:w="760" w:type="dxa"/>
            <w:vAlign w:val="bottom"/>
            <w:gridSpan w:val="2"/>
          </w:tcPr>
          <w:p>
            <w:pPr>
              <w:jc w:val="right"/>
              <w:ind w:right="528"/>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1,910</w:t>
            </w:r>
          </w:p>
        </w:tc>
        <w:tc>
          <w:tcPr>
            <w:tcW w:w="400" w:type="dxa"/>
            <w:vAlign w:val="bottom"/>
            <w:gridSpan w:val="2"/>
          </w:tcPr>
          <w:p>
            <w:pPr>
              <w:jc w:val="right"/>
              <w:ind w:right="48"/>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(4)</w:t>
            </w:r>
          </w:p>
        </w:tc>
        <w:tc>
          <w:tcPr>
            <w:tcW w:w="24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(38,757)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(36,847)</w:t>
            </w:r>
          </w:p>
        </w:tc>
        <w:tc>
          <w:tcPr>
            <w:tcW w:w="0" w:type="dxa"/>
            <w:vAlign w:val="bottom"/>
          </w:tcPr>
          <w:p>
            <w:pPr>
              <w:spacing w:after="0"/>
              <w:rPr>
                <w:sz w:val="1"/>
                <w:szCs w:val="1"/>
                <w:color w:val="auto"/>
              </w:rPr>
            </w:pPr>
          </w:p>
        </w:tc>
      </w:tr>
      <w:tr>
        <w:trPr>
          <w:trHeight w:val="194"/>
        </w:trPr>
        <w:tc>
          <w:tcPr>
            <w:tcW w:w="860" w:type="dxa"/>
            <w:vAlign w:val="bottom"/>
          </w:tcPr>
          <w:p>
            <w:pPr>
              <w:jc w:val="right"/>
              <w:spacing w:after="0"/>
              <w:rPr>
                <w:sz w:val="20"/>
                <w:szCs w:val="20"/>
                <w:color w:val="auto"/>
              </w:rPr>
            </w:pPr>
            <w:r>
              <w:rPr>
                <w:rFonts w:ascii="Arial" w:cs="Arial" w:eastAsia="Arial" w:hAnsi="Arial"/>
                <w:sz w:val="15"/>
                <w:szCs w:val="15"/>
                <w:color w:val="auto"/>
              </w:rPr>
              <w:t>158,474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(15,793)</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510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(21,699)</w:t>
            </w: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(21,699)</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60" w:type="dxa"/>
            <w:vAlign w:val="bottom"/>
          </w:tcPr>
          <w:p>
            <w:pPr>
              <w:jc w:val="right"/>
              <w:spacing w:after="0"/>
              <w:rPr>
                <w:sz w:val="20"/>
                <w:szCs w:val="20"/>
                <w:color w:val="auto"/>
              </w:rPr>
            </w:pPr>
            <w:r>
              <w:rPr>
                <w:rFonts w:ascii="Arial" w:cs="Arial" w:eastAsia="Arial" w:hAnsi="Arial"/>
                <w:sz w:val="15"/>
                <w:szCs w:val="15"/>
                <w:color w:val="auto"/>
              </w:rPr>
              <w:t>3,595,334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2,740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(60,456)</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(57,714)</w:t>
            </w:r>
          </w:p>
        </w:tc>
        <w:tc>
          <w:tcPr>
            <w:tcW w:w="0" w:type="dxa"/>
            <w:vAlign w:val="bottom"/>
          </w:tcPr>
          <w:p>
            <w:pPr>
              <w:spacing w:after="0"/>
              <w:rPr>
                <w:sz w:val="1"/>
                <w:szCs w:val="1"/>
                <w:color w:val="auto"/>
              </w:rPr>
            </w:pPr>
          </w:p>
        </w:tc>
      </w:tr>
      <w:tr>
        <w:trPr>
          <w:trHeight w:val="985"/>
        </w:trPr>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23"/>
        </w:trPr>
        <w:tc>
          <w:tcPr>
            <w:tcW w:w="860" w:type="dxa"/>
            <w:vAlign w:val="bottom"/>
          </w:tcPr>
          <w:p>
            <w:pPr>
              <w:jc w:val="right"/>
              <w:spacing w:after="0"/>
              <w:rPr>
                <w:sz w:val="20"/>
                <w:szCs w:val="20"/>
                <w:color w:val="auto"/>
              </w:rPr>
            </w:pPr>
            <w:r>
              <w:rPr>
                <w:rFonts w:ascii="Arial" w:cs="Arial" w:eastAsia="Arial" w:hAnsi="Arial"/>
                <w:sz w:val="15"/>
                <w:szCs w:val="15"/>
                <w:color w:val="auto"/>
              </w:rPr>
              <w:t>22,245,251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83"/>
              </w:rPr>
              <w:t>22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168,087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168,109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5"/>
        </w:trPr>
        <w:tc>
          <w:tcPr>
            <w:tcW w:w="860" w:type="dxa"/>
            <w:vAlign w:val="bottom"/>
          </w:tcPr>
          <w:p>
            <w:pPr>
              <w:jc w:val="right"/>
              <w:spacing w:after="0"/>
              <w:rPr>
                <w:sz w:val="20"/>
                <w:szCs w:val="20"/>
                <w:color w:val="auto"/>
              </w:rPr>
            </w:pPr>
            <w:r>
              <w:rPr>
                <w:rFonts w:ascii="Arial" w:cs="Arial" w:eastAsia="Arial" w:hAnsi="Arial"/>
                <w:sz w:val="15"/>
                <w:szCs w:val="15"/>
                <w:color w:val="auto"/>
              </w:rPr>
              <w:t>12,550,000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83"/>
              </w:rPr>
              <w:t>13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218,134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218,147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0" w:type="dxa"/>
            <w:vAlign w:val="bottom"/>
          </w:tcPr>
          <w:p>
            <w:pPr>
              <w:jc w:val="right"/>
              <w:spacing w:after="0"/>
              <w:rPr>
                <w:sz w:val="20"/>
                <w:szCs w:val="20"/>
                <w:color w:val="auto"/>
              </w:rPr>
            </w:pPr>
            <w:r>
              <w:rPr>
                <w:rFonts w:ascii="Arial" w:cs="Arial" w:eastAsia="Arial" w:hAnsi="Arial"/>
                <w:sz w:val="15"/>
                <w:szCs w:val="15"/>
                <w:color w:val="auto"/>
              </w:rPr>
              <w:t>479,156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(4,869)</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8"/>
        </w:trPr>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4,301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(43,242)</w:t>
            </w: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(43,242)</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0" w:type="dxa"/>
            <w:vAlign w:val="bottom"/>
          </w:tcPr>
          <w:p>
            <w:pPr>
              <w:jc w:val="right"/>
              <w:spacing w:after="0"/>
              <w:rPr>
                <w:sz w:val="20"/>
                <w:szCs w:val="20"/>
                <w:color w:val="auto"/>
              </w:rPr>
            </w:pPr>
            <w:r>
              <w:rPr>
                <w:rFonts w:ascii="Arial" w:cs="Arial" w:eastAsia="Arial" w:hAnsi="Arial"/>
                <w:sz w:val="15"/>
                <w:szCs w:val="15"/>
                <w:color w:val="auto"/>
              </w:rPr>
              <w:t>38,864,872</w:t>
            </w:r>
          </w:p>
        </w:tc>
        <w:tc>
          <w:tcPr>
            <w:tcW w:w="140" w:type="dxa"/>
            <w:vAlign w:val="bottom"/>
          </w:tcPr>
          <w:p>
            <w:pPr>
              <w:spacing w:after="0"/>
              <w:rPr>
                <w:sz w:val="24"/>
                <w:szCs w:val="24"/>
                <w:color w:val="auto"/>
              </w:rPr>
            </w:pPr>
          </w:p>
        </w:tc>
        <w:tc>
          <w:tcPr>
            <w:tcW w:w="760" w:type="dxa"/>
            <w:vAlign w:val="bottom"/>
            <w:gridSpan w:val="2"/>
          </w:tcPr>
          <w:p>
            <w:pPr>
              <w:jc w:val="right"/>
              <w:ind w:right="528"/>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83"/>
              </w:rPr>
              <w:t>39</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393,841</w:t>
            </w:r>
          </w:p>
        </w:tc>
        <w:tc>
          <w:tcPr>
            <w:tcW w:w="400" w:type="dxa"/>
            <w:vAlign w:val="bottom"/>
            <w:gridSpan w:val="2"/>
          </w:tcPr>
          <w:p>
            <w:pPr>
              <w:jc w:val="right"/>
              <w:ind w:right="48"/>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87</w:t>
            </w:r>
          </w:p>
        </w:tc>
        <w:tc>
          <w:tcPr>
            <w:tcW w:w="140" w:type="dxa"/>
            <w:vAlign w:val="bottom"/>
          </w:tcPr>
          <w:p>
            <w:pPr>
              <w:spacing w:after="0"/>
              <w:rPr>
                <w:sz w:val="24"/>
                <w:szCs w:val="24"/>
                <w:color w:val="auto"/>
              </w:rPr>
            </w:pPr>
          </w:p>
        </w:tc>
        <w:tc>
          <w:tcPr>
            <w:tcW w:w="24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(103,698)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290,269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-5339715</wp:posOffset>
            </wp:positionV>
            <wp:extent cx="7132320" cy="5340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5340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260"/>
            <w:col w:w="6300"/>
          </w:cols>
          <w:pgMar w:left="320" w:top="337" w:right="339" w:bottom="1440" w:gutter="0" w:footer="0" w:header="0"/>
          <w:type w:val="continuous"/>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November 30,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(43,242)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amortization (accretion) of premium (discount) on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Contract assets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receivable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(3,846)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(3,941)</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48,179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(275,224)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Maturities of 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(4,553)</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(254,404)</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upon initial public offering, net of</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offering costs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218,147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stock, net of</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issuance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119,914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Repurchase of unvested early exercised stock options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339,024</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84,540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119,526</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Supplementary disclosures of cash flow information: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Additions to property and equipment included in accounts payable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2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Vesting of early exercised stock options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Conversion of redeemable convertible preferred stock into common stock</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upon closing of initial public offering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168,109</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Nurix Therapeutics, Inc. (the Company) previously known as Nurix, Inc., was incorporated in the state of Delaware on August 27, 2009 and is headquartered in San Francisco, California. The Company is a biopharmaceutical company focused on the discovery, development and commercialization of small molecule therapies designed to modulate cellular protein levels as a novel treatment approach for cancer and immune disorders.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to treat disease.</w:t>
      </w:r>
    </w:p>
    <w:p>
      <w:pPr>
        <w:spacing w:after="0" w:line="69"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The Company wholly owns a subsidiary, DeCART Therapeutics Inc. (DeCART), which was incorporated in the state of Delaware on June 22, 2020 and holds a license to three of the Company’s compounds, including NX-0255, for drug-enhanced isolation of T cells nonexclusively with respect to one chimeric antigen receptor T cell (CAR-T) therapy target and exclusively with respect to three novel CAR-T therapy targets.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On July 23, 2020, the Company’s registration statement on Form S-1 (File No. 333-239651) relating to its initial public offering (IPO) of common stock became effective. The IPO closed on July 28, 2020 at which time the Company issued 11,000,000 shares of its common stock at a price to the public of $19.00 per share. In addition, the underwriters exercised their option to purchase an additional 1,550,000 shares of the Company’s common stock on July 31, 2020, and this transaction closed on August 4, 2020. Immediately prior to the closing of the IPO, all outstanding shares of the Company’s redeemable convertible preferred stock automatically converted into 22,245,251 shares of common stock. Net proceeds from the IPO, including the exercise of the underwriters’ option to purchase additional shares, were $218.1 million, after deducting underwriting discounts and commissions of $16.7 million and expenses of $3.6 million.</w:t>
      </w:r>
    </w:p>
    <w:p>
      <w:pPr>
        <w:spacing w:after="0" w:line="87"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Subsequent to the closing of the IPO, there were no shares of preferred stock outstanding. In connection with the closing of the IPO, the Company restated its Restated Certificate of Incorporation to change the authorized capital stock to 500,000,000 shares designated as common stock, and 10,000,000 shares designated as preferred stock, all with a par value of $0.001 per share.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 Plans</w:t>
      </w:r>
    </w:p>
    <w:p>
      <w:pPr>
        <w:spacing w:after="0" w:line="117"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The Company’s operations have historically been financed through the issuance of common and redeemable convertible preferred stock and proceeds received under the Company’s collaboration and license agreements. Since inception, the Company has generally incurred significant losses and negative net cash flows from operations. During the year ended November 30, 2020, the Company incurred a net loss of $43.2 million and had negative net cash flows from operating activities of $0.1 million. The Company had an accumulated deficit of $103.7 million as of November 30, 2020 and will require substantial additional capital for research and development activities. The Company anticipates incurring additional losses until such time, if ever, that it can generate significant sales of its product candidates currently in development. As of November 30, 2020, the Company had cash and cash equivalents of $119.4 million and working capital of $253.9 million.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0" w:name="page121"/>
    <w:bookmarkEnd w:id="120"/>
    <w:p>
      <w:pPr>
        <w:ind w:right="80" w:firstLine="589"/>
        <w:spacing w:after="0" w:line="254" w:lineRule="auto"/>
        <w:rPr>
          <w:sz w:val="20"/>
          <w:szCs w:val="20"/>
          <w:color w:val="auto"/>
        </w:rPr>
      </w:pPr>
      <w:r>
        <w:rPr>
          <w:rFonts w:ascii="Arial" w:cs="Arial" w:eastAsia="Arial" w:hAnsi="Arial"/>
          <w:sz w:val="18"/>
          <w:szCs w:val="18"/>
          <w:color w:val="auto"/>
        </w:rPr>
        <w:t>Management believes that its cash, cash equivalents and investments are sufficient to continue operating activities for at least 12 months following the issuance date of these consolidated financial statements. Future capital requirements will depend on many factors, including the timing and extent of spending on research and development and payments the Company may receive under its collaboration agreements with Sanofi S.A. (Sanofi) and Gilead Sciences, Inc. (Gilead)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Company’s consolidated financial statements have been prepared in accordance with U.S. generally accepted accounting principles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and applicable rules and regulations of the Securities and Exchange Commission (SEC) regarding interim financial reporting.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accompanying consolidated financial statements include the accounts of Nurix Therapeutics, Inc. and its wholly owned subsidiary, DeCART.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On July 17, 2020, the Company filed an amendment to the Company’s amended and restated certificate of incorporation to effect a reverse split of shares of the Company’s common stock and redeemable convertible preferred stock, each on a 1-for-3 basis (reverse stock split). The par value and authorized shares of the common stock and redeemable convertible preferred stock were not adjusted as a result of the reverse stock split. All issued and outstanding common stock, options to purchase common stock and per share amounts contained in the consolidated financial statements have been retroactively adjusted to give effect to the reverse stock split for all periods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at times, exceed federally insured limits, but minimal credit risk exists. The Company invests its cash equivalents in highly rated money market funds. The Company has not experienced any credit losses on its deposits of cash and cash equivalents.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right="140" w:firstLine="589"/>
        <w:spacing w:after="0" w:line="272" w:lineRule="auto"/>
        <w:rPr>
          <w:sz w:val="20"/>
          <w:szCs w:val="20"/>
          <w:color w:val="auto"/>
        </w:rPr>
      </w:pPr>
      <w:r>
        <w:rPr>
          <w:rFonts w:ascii="Arial" w:cs="Arial" w:eastAsia="Arial" w:hAnsi="Arial"/>
          <w:sz w:val="17"/>
          <w:szCs w:val="17"/>
          <w:color w:val="auto"/>
        </w:rPr>
        <w:t>The Company is subject to a number of risks similar to other early-stage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product candidates, ability to raise additional capital, development of new technological innovations by its competitors and delay or inability to obtain drug substance and finished drug product from the Company’s third-party contract manufacturers necessary for the Company’s product candidates, including due to the impact of the current coronavirus (COVID-19) pandemic,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69"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Moreover, the current COVID-19 pandemic, which is impacting worldwide economic activity,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79"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may directly or indirectly impact the Company’s financial statements is highly uncertain and subject to change. Management considered the potential impact of the COVID-19 pandemic on its estimates and assumptions and there was not a material impact to the Company’s consolidated financial statements as of and for the year ended November 30, 2020; however, actual results could differ from those estimates and there may be changes to management’s estimates in future periods.</w:t>
      </w:r>
    </w:p>
    <w:p>
      <w:pPr>
        <w:spacing w:after="0" w:line="84"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Company relies on single source manufacturers and suppliers for the supply of its product candidates. Disruption from these manufacturers or suppliers would have a negative impact on the Company’s business, financial position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jc w:val="both"/>
        <w:ind w:right="320" w:firstLine="589"/>
        <w:spacing w:after="0" w:line="263" w:lineRule="auto"/>
        <w:rPr>
          <w:sz w:val="20"/>
          <w:szCs w:val="20"/>
          <w:color w:val="auto"/>
        </w:rPr>
      </w:pPr>
      <w:r>
        <w:rPr>
          <w:rFonts w:ascii="Arial" w:cs="Arial" w:eastAsia="Arial" w:hAnsi="Arial"/>
          <w:sz w:val="18"/>
          <w:szCs w:val="18"/>
          <w:color w:val="auto"/>
        </w:rPr>
        <w:t>The Company operates and manages its business as one reportable and operating segment. The Company’s Chief Executive Officer, who is the chief operating decision maker, reviews consolidated financial information on a company-wide basis for purposes of allocating resources and assessing financial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Cash equivalents, which consist primarily of money market funds, are stated at fair value.</w:t>
      </w:r>
    </w:p>
    <w:p>
      <w:pPr>
        <w:spacing w:after="0" w:line="62"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Cash, cash equivalents and restricted cash as reported within the consolidated statements of cash flows as of November 30, 2020 and 2019 consisted of the following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November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119,356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119,526</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The Company had $170,000 of restricted cash recorded as a non-current asset as of November 30, 2020 and 2019. Restricted cash consisted of $100,000 that serves as collateral for a business credit card account and $70,000 for a letter of credit required under a facility operating lease executed in 2014. These balances are included within the cash, cash equivalents and restricted cash balance in the accompanying consolidated statements of cash flows.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40" w:firstLine="589"/>
        <w:spacing w:after="0" w:line="342" w:lineRule="auto"/>
        <w:rPr>
          <w:sz w:val="20"/>
          <w:szCs w:val="20"/>
          <w:color w:val="auto"/>
        </w:rPr>
      </w:pPr>
      <w:r>
        <w:rPr>
          <w:rFonts w:ascii="Arial" w:cs="Arial" w:eastAsia="Arial" w:hAnsi="Arial"/>
          <w:sz w:val="16"/>
          <w:szCs w:val="16"/>
          <w:color w:val="auto"/>
        </w:rPr>
        <w:t>The carrying amounts of the Company’s financial instruments, including cash equivalents, investments, accounts payable and accrued liabilities included in the Company’s consolidated financial statements approximate their fair value due to short maturities or the nature of the financial instruments.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Investments consist of money market funds, U.S. Treasuries, corporate debt securities, U.S. government agency securities, corporate commercial paper and municipal securities. All of the Company’s investments are classified as available-for-sale and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w:t>
      </w:r>
    </w:p>
    <w:p>
      <w:pPr>
        <w:spacing w:after="0" w:line="80"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Unrealized gains and losses on available-for-sale investments are reported in accumulated other comprehensive income (loss) as a separate component of stockholders’ equity (deficit). Investments are regularly reviewed for other-than-temporary declines in fair value. The review includes the consideration of the cause of the impairment, including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Property and equipment are stated at cost, net of accumulated depreciation. Major improvements are capitalized, while maintenance and repairs are expensed when incurred. Depreciation is computed using the straight-line method over the estimated useful lives of the assets. The useful life of laboratory equipment, computer equipment, furniture and fixtures and software is generally three years. Tenant improvements are depreciated over the shorter of the lease term or the estimated useful life of the improvements. When assets are retired or disposed of, the cost together with related accumulated depreciation is removed from the Company’s accounts and the resulting gain or loss is reflected in the Company’s statements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17" w:lineRule="exact"/>
        <w:rPr>
          <w:sz w:val="20"/>
          <w:szCs w:val="20"/>
          <w:color w:val="auto"/>
        </w:rPr>
      </w:pPr>
    </w:p>
    <w:p>
      <w:pPr>
        <w:ind w:right="220" w:firstLine="589"/>
        <w:spacing w:after="0" w:line="279" w:lineRule="auto"/>
        <w:rPr>
          <w:sz w:val="20"/>
          <w:szCs w:val="20"/>
          <w:color w:val="auto"/>
        </w:rPr>
      </w:pPr>
      <w:r>
        <w:rPr>
          <w:rFonts w:ascii="Arial" w:cs="Arial" w:eastAsia="Arial" w:hAnsi="Arial"/>
          <w:sz w:val="17"/>
          <w:szCs w:val="17"/>
          <w:color w:val="auto"/>
        </w:rPr>
        <w:t>The Company capitalizes qualifying costs incurred during the application development stage related to software developed for internal-use and amortize them over the estimated useful life of three years. Amortization of such costs begins when the project is substantially complete and ready for its intended use. Capitalized software development costs are classified as property and equipment, net on the balance sheet. The Company expenses costs incurred related to the planning and post-implementation phases of development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Long-lived assets, such as property and equipment are reviewed for impairment whenever events or changes in circumstances indicate that the carrying amount of an asset may not be fully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during the years ended November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The Company capitalizes within other assets certain legal, accounting and other third-party fees that are directly related to the Company’s in-process equity financings, including the IPO, until such financings are consummated. After consummation of an equity financing, these costs are recorded as a reduction of the carrying value of redeemable convertible preferred stock or, for issuances of common stock, in stockholder’s equity (deficit) as a reduction of additional paid-in capital generated as a result of the offering. Should a planned equity financing be abandoned, terminated or significantly delayed, the deferred offering costs are immediately written off to operating expenses. There were no deferred offering costs capitalized as of November 30, 2020 and 2019. Upon the closing of the IPO on July 28, 2020, the offering costs of $20.3 million were recorded in stockholder’s equity (deficit) as a reduction of additional paid-in capital.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 xml:space="preserve">Prior to December 1, 2019, the Company recognized revenue in accordance with the Financial Accounting Standards Board’s (FASB) Accounting Standards Codification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Accordingly, revenue is recognized for each unit of accounting when all of the following criteria are met:</w:t>
      </w:r>
    </w:p>
    <w:p>
      <w:pPr>
        <w:spacing w:after="0" w:line="76" w:lineRule="exact"/>
        <w:rPr>
          <w:sz w:val="20"/>
          <w:szCs w:val="20"/>
          <w:color w:val="auto"/>
        </w:rPr>
      </w:pPr>
    </w:p>
    <w:p>
      <w:pPr>
        <w:ind w:left="1160" w:hanging="572"/>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17"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The Company evaluates multiple element arrangements to determine if each deliverable represents a separate unit of accounting based on the following criteria:</w:t>
      </w:r>
    </w:p>
    <w:p>
      <w:pPr>
        <w:spacing w:after="0" w:line="62" w:lineRule="exact"/>
        <w:rPr>
          <w:sz w:val="20"/>
          <w:szCs w:val="20"/>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Delivered item or items have value to the customer on a standalone basis, and</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relative to the delivered item or items, delivery or performance of the undelivered item or items is considered probable and substantially in control of the Company.</w:t>
      </w:r>
    </w:p>
    <w:p>
      <w:pPr>
        <w:spacing w:after="0" w:line="6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 arrangement’s consideration that is fixed or determinable is then allocated to each separate unit of accounting based on the relative selling price methodology in accordance with the selling price hierarchy, which includes vendor-specific objective evidence (VSOE) of selling price, if available, or third-party evidence of selling price if VSOE is not available, or the best estimate of selling price, if neither VSOE nor third-party evidence is available. The provisions of ASC 605 are then applied to each unit of accounting to determine the appropriate revenue recognition. In the event that a deliverable of a multiple element arrangement does not represent a separate unit of accounting, primarily because a deliverable does not provide value on a standalone basis, the Company recognizes revenue from the combined unit of accounting using the input/proportional performance approach as research is delivered or on a straight-line basis over the estimated period of performance when there is no discernable pattern of performance.</w:t>
      </w:r>
    </w:p>
    <w:p>
      <w:pPr>
        <w:spacing w:after="0" w:line="58" w:lineRule="exact"/>
        <w:rPr>
          <w:sz w:val="20"/>
          <w:szCs w:val="20"/>
          <w:color w:val="auto"/>
        </w:rPr>
      </w:pPr>
    </w:p>
    <w:p>
      <w:pPr>
        <w:ind w:right="40" w:firstLine="589"/>
        <w:spacing w:after="0" w:line="284" w:lineRule="auto"/>
        <w:rPr>
          <w:sz w:val="20"/>
          <w:szCs w:val="20"/>
          <w:color w:val="auto"/>
        </w:rPr>
      </w:pPr>
      <w:r>
        <w:rPr>
          <w:rFonts w:ascii="Arial" w:cs="Arial" w:eastAsia="Arial" w:hAnsi="Arial"/>
          <w:sz w:val="16"/>
          <w:szCs w:val="16"/>
          <w:color w:val="auto"/>
        </w:rPr>
        <w:t xml:space="preserve">The Company evaluates potential milestone payments associated with research and development arrangements in accordance with ASC 605-28, </w:t>
      </w:r>
      <w:r>
        <w:rPr>
          <w:rFonts w:ascii="Arial" w:cs="Arial" w:eastAsia="Arial" w:hAnsi="Arial"/>
          <w:sz w:val="16"/>
          <w:szCs w:val="16"/>
          <w:i w:val="1"/>
          <w:iCs w:val="1"/>
          <w:color w:val="auto"/>
        </w:rPr>
        <w:t xml:space="preserve">Milestone Method. </w:t>
      </w:r>
      <w:r>
        <w:rPr>
          <w:rFonts w:ascii="Arial" w:cs="Arial" w:eastAsia="Arial" w:hAnsi="Arial"/>
          <w:sz w:val="16"/>
          <w:szCs w:val="16"/>
          <w:color w:val="auto"/>
        </w:rPr>
        <w:t>Under the milestone method, the Company may recognize revenue contingent upon the achievement of a milestone in its entirety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which the milestone is achieved, only if the milestone meets all the criteria within the guidance to be considered a substantive milestone. The Company evaluates each contingent payment on an individual basis to determine whether they are considered substantive milestones, specifically reviewing factors such as the degree of certainty in achieving the milestone, the research and development risk and other risks that must be overcome to achieve the milestone, as well as the level of effort and investment required and whether the milestone consideration is reasonable relative to all deliverables and payment terms in the arrangement. This evaluation includes an assessment of whether (a) the consideration is commensurate with either</w:t>
      </w:r>
    </w:p>
    <w:p>
      <w:pPr>
        <w:spacing w:after="0" w:line="2" w:lineRule="exact"/>
        <w:rPr>
          <w:sz w:val="20"/>
          <w:szCs w:val="20"/>
          <w:color w:val="auto"/>
        </w:rPr>
      </w:pPr>
    </w:p>
    <w:p>
      <w:pPr>
        <w:ind w:firstLine="8"/>
        <w:spacing w:after="0" w:line="253"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Revenues from milestones, if they are nonrefundable and deemed substantive, are recognized upon achievement of the milestones.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24" w:name="page125"/>
    <w:bookmarkEnd w:id="124"/>
    <w:p>
      <w:pPr>
        <w:ind w:right="20" w:firstLine="589"/>
        <w:spacing w:after="0" w:line="257" w:lineRule="auto"/>
        <w:rPr>
          <w:sz w:val="20"/>
          <w:szCs w:val="20"/>
          <w:color w:val="auto"/>
        </w:rPr>
      </w:pPr>
      <w:r>
        <w:rPr>
          <w:rFonts w:ascii="Arial" w:cs="Arial" w:eastAsia="Arial" w:hAnsi="Arial"/>
          <w:sz w:val="18"/>
          <w:szCs w:val="18"/>
          <w:color w:val="auto"/>
        </w:rPr>
        <w:t>To the extent that non-substantive milestones are achieved, and the Company has remaining deliverables, milestone payments are deferred and recognized as revenue over the estimated remaining performance period using the appropriate measure of progress as determined for each agreement. The Company recognizes revenue associated with the non-substantive milestones upon achievement of the milestone if the Company has no remaining deliverables. During the years ended November 30, 2019, no milestone payments were received, no milestone revenues were recognized and no milestones were considered substantive.</w:t>
      </w:r>
    </w:p>
    <w:p>
      <w:pPr>
        <w:spacing w:after="0" w:line="80"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 xml:space="preserve">Effective December 1, 2019, the Company adopted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using the modified retrospective method, which was only applied to contracts that were not completed as of the adoption date. As of the adoption date, the Company had only one contract, a collaboration agreement with Gilead, not completed. Under Topic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Topic 606, the Company performs the following five steps:</w:t>
      </w:r>
    </w:p>
    <w:p>
      <w:pPr>
        <w:spacing w:after="0" w:line="53" w:lineRule="exact"/>
        <w:rPr>
          <w:sz w:val="20"/>
          <w:szCs w:val="20"/>
          <w:color w:val="auto"/>
        </w:rPr>
      </w:pPr>
    </w:p>
    <w:p>
      <w:pPr>
        <w:ind w:left="1160" w:hanging="572"/>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17" w:lineRule="exact"/>
        <w:rPr>
          <w:sz w:val="20"/>
          <w:szCs w:val="20"/>
          <w:color w:val="auto"/>
        </w:rPr>
      </w:pPr>
    </w:p>
    <w:p>
      <w:pPr>
        <w:jc w:val="both"/>
        <w:ind w:right="540" w:firstLine="589"/>
        <w:spacing w:after="0" w:line="286" w:lineRule="auto"/>
        <w:rPr>
          <w:sz w:val="20"/>
          <w:szCs w:val="20"/>
          <w:color w:val="auto"/>
        </w:rPr>
      </w:pPr>
      <w:r>
        <w:rPr>
          <w:rFonts w:ascii="Arial" w:cs="Arial" w:eastAsia="Arial" w:hAnsi="Arial"/>
          <w:sz w:val="17"/>
          <w:szCs w:val="17"/>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5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80"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i w:val="1"/>
          <w:iCs w:val="1"/>
          <w:color w:val="auto"/>
        </w:rPr>
        <w:t>Research and collaboration licenses</w:t>
      </w:r>
      <w:r>
        <w:rPr>
          <w:rFonts w:ascii="Arial" w:cs="Arial" w:eastAsia="Arial" w:hAnsi="Arial"/>
          <w:sz w:val="18"/>
          <w:szCs w:val="18"/>
          <w:color w:val="auto"/>
        </w:rPr>
        <w:t>: If a license is determined to be distinct from the other promises identified in the arrangement,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recognizes revenue from upfront payments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8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At the inception of each arrangement that includes research, development, or regulatory milestone payments,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80"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i w:val="1"/>
          <w:iCs w:val="1"/>
          <w:color w:val="auto"/>
        </w:rPr>
        <w:t>Sales-based milestones and royalties</w:t>
      </w:r>
      <w:r>
        <w:rPr>
          <w:rFonts w:ascii="Arial" w:cs="Arial" w:eastAsia="Arial" w:hAnsi="Arial"/>
          <w:sz w:val="17"/>
          <w:szCs w:val="17"/>
          <w:color w:val="auto"/>
        </w:rPr>
        <w:t>: For arrangements that include sales-based milestone or royalty payments based on the level of sales, and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5" w:name="page126"/>
    <w:bookmarkEnd w:id="125"/>
    <w:p>
      <w:pPr>
        <w:ind w:firstLine="589"/>
        <w:spacing w:after="0" w:line="270" w:lineRule="auto"/>
        <w:rPr>
          <w:sz w:val="20"/>
          <w:szCs w:val="20"/>
          <w:color w:val="auto"/>
        </w:rPr>
      </w:pPr>
      <w:r>
        <w:rPr>
          <w:rFonts w:ascii="Arial" w:cs="Arial" w:eastAsia="Arial" w:hAnsi="Arial"/>
          <w:sz w:val="17"/>
          <w:szCs w:val="17"/>
          <w:i w:val="1"/>
          <w:iCs w:val="1"/>
          <w:color w:val="auto"/>
        </w:rPr>
        <w:t>Customer options</w:t>
      </w:r>
      <w:r>
        <w:rPr>
          <w:rFonts w:ascii="Arial" w:cs="Arial" w:eastAsia="Arial" w:hAnsi="Arial"/>
          <w:sz w:val="17"/>
          <w:szCs w:val="17"/>
          <w:color w:val="auto"/>
        </w:rPr>
        <w:t>: Customer options, such as options granted to allow a licensee to extend a license or research term, to select additional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73"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Deferred revenue, which is a contract liability, represents amounts received by the Company for which the related revenues have not been recognized because one or more of the revenue recognition criteria have not been met. The current portion of deferred revenue represents the amount to be recognized within one year from the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revenue was derived from customers located in the United States during the years ended November 30, 2020 and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The Company expenses all research and development costs as incurred. Research and development costs include, but are not limited to, payroll and personnel expenses, laboratory supplies, preclinical studies, compound manufacturing costs, consulting costs and allocated overhead, including rent, equipment, depreciation and utilities.</w:t>
      </w:r>
    </w:p>
    <w:p>
      <w:pPr>
        <w:spacing w:after="0" w:line="76"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The Company records accrued expenses for estimated costs of research and development activities conducted by third-party service providers, which include preclinical studies and clinical trials and contract manufacturing activities. The Company records the estimated costs of research and development activities based upon the estimated amount of services provided but not yet invoiced and includes these costs in accrued expenses and other current liabilities on the consolidated balance sheet.</w:t>
      </w:r>
    </w:p>
    <w:p>
      <w:pPr>
        <w:spacing w:after="0" w:line="79"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The Company estimates the amount of work completed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the Company adjusts its accrued estimates. The Company’s accrued expenses are dependent, in part, upon the receipt of timely and accurate reporting from clinical research organizations and other third-party service providers. The Company records advance payments to service providers as prepaid assets, which are expensed as the contracted services are performed.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Company accounts for stock-based compensation using a fair value-based method, which requires the recognition of compensation expense for costs related to all stock-based payments including stock options and purchase rights under the employee stock purchase plan. The Company estimates the fair value of stock-based payment awards on the date of grant using the Black-Scholes option pricing model. The model requires management to make a number of assumptions including expected volatility, expected term, risk-free interest rate and expected dividend yield. Prior to its IPO, the fair value of the Company’s common stock was determined by the Company’s board of directors with assistance from management and an independent third party valuation firm, using significant judgment and several factors including important developments in the Company’s operations, sales of preferred stock and the lack of liquidity of the common stock. Subsequent to the IPO, the Company determines the fair value using the market closing price of the Company’s common stock on the date of grant.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6" w:name="page127"/>
    <w:bookmarkEnd w:id="126"/>
    <w:p>
      <w:pPr>
        <w:ind w:right="80" w:firstLine="589"/>
        <w:spacing w:after="0" w:line="291" w:lineRule="auto"/>
        <w:rPr>
          <w:sz w:val="20"/>
          <w:szCs w:val="20"/>
          <w:color w:val="auto"/>
        </w:rPr>
      </w:pPr>
      <w:r>
        <w:rPr>
          <w:rFonts w:ascii="Arial" w:cs="Arial" w:eastAsia="Arial" w:hAnsi="Arial"/>
          <w:sz w:val="16"/>
          <w:szCs w:val="16"/>
          <w:color w:val="auto"/>
        </w:rPr>
        <w:t xml:space="preserve">For stock-based payments with service conditions only, the Company uses the straight-line method to allocate compensation cost to reporting periods over the requisite service period, which is generally the vesting period. Subsequent to the adoption of ASU 2018-07,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718): Improvements to Nonemployee Share-Based Payment Accounting </w:t>
      </w:r>
      <w:r>
        <w:rPr>
          <w:rFonts w:ascii="Arial" w:cs="Arial" w:eastAsia="Arial" w:hAnsi="Arial"/>
          <w:sz w:val="16"/>
          <w:szCs w:val="16"/>
          <w:color w:val="auto"/>
        </w:rPr>
        <w:t>as of December 1, 2019, stock-based compensation expense for non-employee stock-based awards is also measured based on the grant date fair value with the estimated fair value expensed over the period for which the non-employee is required to provide service in exchange for the award. For stock-based payments with performance conditions, the Company evaluates the probability of achieving performance conditions at each reporting date. The Company begins to recognize compensation cost using an accelerated attribution method when it is deemed probable that the performance condition will be met. The Company accounts for forfeitures as they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in management’s estimate, it is more likely than not, that the deferred tax assets will not be recovered.</w:t>
      </w:r>
    </w:p>
    <w:p>
      <w:pPr>
        <w:spacing w:after="0" w:line="79"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Financial statement effects of uncertain tax positions are recognized when it is more likely than not, based on the technical merits of the position, that it will be sustained upon examination. It is the Company’s policy to include penalties and interest expense related to income taxes as a component of the provision for income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Comprehensive loss represents the net loss for the period and other comprehensive income. Other comprehensive income reflects certain gains and losses that are recorded as a component of stockholders’ deficit and are not reflected in the statements of operations. The Company’s other comprehensive income consists of changes in unrealized gains and losses on available-for-sale investments.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restricted stock awards and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The Company is an “emerging growth company” (EGC), as defined in the JOBS Act. Under the JOBS Act, EGCs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consolidated financial statements may not be comparable to companies that comply with the new or revised accounting pronouncements as of the public company effective 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60" w:firstLine="589"/>
        <w:spacing w:after="0" w:line="286"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and has subsequently issued a number of amendments to Topic 606. As amended, Topic 606 provides a single comprehensive model to be used in the accounting for revenue arising from contracts with customers and supersedes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Topic 606 also requires entities to disclose both qualitative and quantitative information that enables users of financial statements to understand the nature, amount, timing and uncertainty of revenue and cash flows arising from contracts with customers, including disclosure of significant judgments affecting the recognition of revenue. The Company adopted Topic 606 as of December 1, 2019 using the modified retrospective method, which was only applied to contracts that were not completed as of the adoption date. As of the adoption date, the Company had only one contract, the collaboration agreement with Gilead, not completed. The Company did not elect to use any of the practical expedients permitted related to adoption. The adoption of Topic 606 did not result in a cumulative adjustment to the accumulated deficit as it did not change the timing and pattern of revenue recognition for the collaboration agreement with Gilead. For the year ended November 30, 2020, there would have been no difference between the revenue recognized under Topic 606 and the revenue recognized under ASC 605 for the collaboration agreement with Gilead. The adoption of Topic 606 did not have a material impact on the Company’s consolidated financial statements.</w:t>
      </w:r>
    </w:p>
    <w:p>
      <w:pPr>
        <w:spacing w:after="0" w:line="66"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(ASU 2018-07), which expands the scope of Topic 718 to include share-based payment transactions for acquiring goods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from non-employees.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ASU 2018-07 is effective for annual periods beginning after December 15, 2019, and interim periods within annual periods beginning after December 15, 2020. Early adoption is permitted, but no earlier than an entity’s adoption date of Topic 606. The Company adopted ASU 2018-07 as of December 1, 2019. The adoption did not have a material impact on the Company’s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w:t>
      </w:r>
      <w:r>
        <w:rPr>
          <w:rFonts w:ascii="Arial" w:cs="Arial" w:eastAsia="Arial" w:hAnsi="Arial"/>
          <w:sz w:val="18"/>
          <w:szCs w:val="18"/>
          <w:i w:val="1"/>
          <w:iCs w:val="1"/>
          <w:color w:val="auto"/>
        </w:rPr>
        <w:t>,</w:t>
      </w:r>
      <w:r>
        <w:rPr>
          <w:rFonts w:ascii="Arial" w:cs="Arial" w:eastAsia="Arial" w:hAnsi="Arial"/>
          <w:sz w:val="18"/>
          <w:szCs w:val="18"/>
          <w:color w:val="auto"/>
        </w:rPr>
        <w:t xml:space="preserve"> which for operating leases requires the lessee to recognize a right-of-use asset and a lease liability, initially measured at the present value of lease payments, in its balance sheet. A modified retrospective transition approach is required for leases existing at, or entered into after, the beginning of the earliest comparative period presented in the financial statements, including a number of optional practical expedients that entities may elect to apply. ASU 2016-02 is effective for annual periods beginning after December 15, 2021 and interim periods within annual periods beginning after December 15, 2022. Early adoption is permitted. The Company is in the process of evaluating the impact of this new guidance on its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8" w:name="page129"/>
    <w:bookmarkEnd w:id="128"/>
    <w:p>
      <w:pPr>
        <w:ind w:right="80" w:firstLine="589"/>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(ASU 2016-13), which requires that financial assets measured at amortized cost be presented at the net amount expected to be collected. The measurement of expected credit losses is based on historical experience, current conditions, and reasonable and supportable forecasts that affect collectability. ASU 2016-13 also eliminates the concept of “other-than-temporary” impairment when evaluating available-for-sale debt investments and instead focuses on determining whether any impairment is a result of a credit loss or other factors. An entity will recognize an allowance for credit losses on available-for-sale debt investments rather than an other-than-temporary impairment that reduces the cost basis of the investment. ASU 2016-13 is effective for annual periods beginning after December 15, 2022, including interim periods within those annual periods. Early adoption is permitted. The Company is in the process of evaluating the impact of this new guidance on its financial statements.</w:t>
      </w:r>
    </w:p>
    <w:p>
      <w:pPr>
        <w:spacing w:after="0" w:line="70" w:lineRule="exact"/>
        <w:rPr>
          <w:sz w:val="20"/>
          <w:szCs w:val="20"/>
          <w:color w:val="auto"/>
        </w:rPr>
      </w:pPr>
    </w:p>
    <w:p>
      <w:pPr>
        <w:ind w:right="200" w:firstLine="589"/>
        <w:spacing w:after="0" w:line="293"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Measurements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(ASU 2018-13), which modifies the disclosure requirements on fair value measurements by removing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to disclose amounts of and reasons for transfers between Level 1 and Level 2 of the fair value hierarchy, the policy for timing of transfers between levels, and the valuation process for Level 3 fair value measurements, among other modifications to fair value measurement disclosure requirements. ASU 2018-13 is effective for all entities for annual periods, and interim periods within those annual periods, beginning after December 15, 2019. Early adoption is permitted. The Company does not expect the adoption to have a material impact on its financial statements.</w:t>
      </w:r>
    </w:p>
    <w:p>
      <w:pPr>
        <w:spacing w:after="0" w:line="56"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 Clarifying the Interaction between Topic 808</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Topic 606 </w:t>
      </w:r>
      <w:r>
        <w:rPr>
          <w:rFonts w:ascii="Arial" w:cs="Arial" w:eastAsia="Arial" w:hAnsi="Arial"/>
          <w:sz w:val="17"/>
          <w:szCs w:val="17"/>
          <w:color w:val="auto"/>
        </w:rPr>
        <w:t>(ASU 2018-18). ASU 2018-18 clarifies that certain transactions between collaborative arrangement participants should be accounted for as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when the collaborative arrangement participant is a customer in the context of a unit of account and precludes recognizing as revenue consideration received from a collaborative arrangement participant if the participant is not a customer. ASU 2018-18 is effective for annual periods beginning after December 15, 2020, and interim periods within annual periods beginning after December 15, 2021. ASU 2018-18 requires retrospective adoption to the date the Company adopted Topic 606 by recognizing a cumulative-effect adjustment to the opening balance of retained earnings of the earliest annual period presented. Early adoption is permitted, but no earlier than an entity’s adoption date of Topic 606. The Company does not expect the adoption to have a material impact on its financial statements.</w:t>
      </w:r>
    </w:p>
    <w:p>
      <w:pPr>
        <w:spacing w:after="0" w:line="70"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740)—Simplifying the Accounting for Income Taxes</w:t>
      </w:r>
      <w:r>
        <w:rPr>
          <w:rFonts w:ascii="Arial" w:cs="Arial" w:eastAsia="Arial" w:hAnsi="Arial"/>
          <w:sz w:val="18"/>
          <w:szCs w:val="18"/>
          <w:color w:val="auto"/>
        </w:rPr>
        <w:t xml:space="preserve"> (ASU 2019-12), which is intended to simplify accounting for income taxes. It removes certain exceptions to the general principles in Topic 740 and amends existing guidance to improve consistent application. ASU 2019-12 is effective for annual periods beginning after December 15, 2021, and interim periods within annual periods beginning after December 15, 2022. Early adoption is permitted. The Company is in the process of evaluating the impact of this new guidance on its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 Related Party)</w:t>
      </w:r>
    </w:p>
    <w:p>
      <w:pPr>
        <w:spacing w:after="0" w:line="117" w:lineRule="exact"/>
        <w:rPr>
          <w:sz w:val="20"/>
          <w:szCs w:val="20"/>
          <w:color w:val="auto"/>
        </w:rPr>
      </w:pPr>
    </w:p>
    <w:p>
      <w:pPr>
        <w:ind w:right="300" w:firstLine="589"/>
        <w:spacing w:after="0" w:line="286" w:lineRule="auto"/>
        <w:rPr>
          <w:sz w:val="20"/>
          <w:szCs w:val="20"/>
          <w:color w:val="auto"/>
        </w:rPr>
      </w:pPr>
      <w:r>
        <w:rPr>
          <w:rFonts w:ascii="Arial" w:cs="Arial" w:eastAsia="Arial" w:hAnsi="Arial"/>
          <w:sz w:val="17"/>
          <w:szCs w:val="17"/>
          <w:color w:val="auto"/>
        </w:rPr>
        <w:t>In September 2015, the Company entered into a collaboration agreement with Celgene Corporation (the Celgene Agreement and Celgene, respectively), which was later acquired by Bristol-Myers Squibb Company (BMS) in November 2019, with an initial research term of four years for the discovery, development and commercialization of novel small molecule therapeutics in oncology, inflammation and immunology.</w:t>
      </w:r>
    </w:p>
    <w:p>
      <w:pPr>
        <w:spacing w:after="0" w:line="57" w:lineRule="exact"/>
        <w:rPr>
          <w:sz w:val="20"/>
          <w:szCs w:val="20"/>
          <w:color w:val="auto"/>
        </w:rPr>
      </w:pPr>
    </w:p>
    <w:p>
      <w:pPr>
        <w:ind w:right="340" w:firstLine="589"/>
        <w:spacing w:after="0" w:line="311" w:lineRule="auto"/>
        <w:rPr>
          <w:sz w:val="20"/>
          <w:szCs w:val="20"/>
          <w:color w:val="auto"/>
        </w:rPr>
      </w:pPr>
      <w:r>
        <w:rPr>
          <w:rFonts w:ascii="Arial" w:cs="Arial" w:eastAsia="Arial" w:hAnsi="Arial"/>
          <w:sz w:val="16"/>
          <w:szCs w:val="16"/>
          <w:color w:val="auto"/>
        </w:rPr>
        <w:t>Under the terms of the Celgene Agreement, the Company received an upfront payment of $150.0 million in September 2015. In addition, in September 2015, Celgene purchased 1,622,222 shares of Series C redeemable convertible preferred stock at a price of $10.50 per share, resulting in net proceeds of $17.0 million. As of November 30, 2019, BMS held approximately 10% of total shares outstanding on an as-converted basis.</w:t>
      </w:r>
    </w:p>
    <w:p>
      <w:pPr>
        <w:spacing w:after="0" w:line="41"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In January 2019, Celgene and BMS entered into a definitive merger agreement pursuant to which Celgene agreed to be acquired by BMS. Based on the Company’s request for notification of the future disposition of the agreement, in June 2019, Celgene notified the Company that it was terminating the Celgene Agreement. Upon termination of the Celgene Agreement in June 2019, any rights that Celgene had under the agreement reverted to the Company and no termination payments were due or payable. The Company determined it had no remaining deliverables to be performed under the Celgene Agreement and as a result recognized all remaining deferred revenue in June 2019.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9" w:name="page130"/>
    <w:bookmarkEnd w:id="129"/>
    <w:p>
      <w:pPr>
        <w:ind w:left="600"/>
        <w:spacing w:after="0"/>
        <w:rPr>
          <w:sz w:val="20"/>
          <w:szCs w:val="20"/>
          <w:color w:val="auto"/>
        </w:rPr>
      </w:pPr>
      <w:r>
        <w:rPr>
          <w:rFonts w:ascii="Arial" w:cs="Arial" w:eastAsia="Arial" w:hAnsi="Arial"/>
          <w:sz w:val="16"/>
          <w:szCs w:val="16"/>
          <w:color w:val="auto"/>
        </w:rPr>
        <w:t>Collaboration revenue related to the Celgene Agreement was $0 and $28.4 million for the years ended November 30,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2020 and 2019, deferred revenue of $0 was recorded on the consolidated balance sheet.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Gilead</w:t>
      </w:r>
    </w:p>
    <w:p>
      <w:pPr>
        <w:spacing w:after="0" w:line="117" w:lineRule="exact"/>
        <w:rPr>
          <w:sz w:val="20"/>
          <w:szCs w:val="20"/>
          <w:color w:val="auto"/>
        </w:rPr>
      </w:pPr>
    </w:p>
    <w:p>
      <w:pPr>
        <w:ind w:right="240" w:firstLine="589"/>
        <w:spacing w:after="0" w:line="311" w:lineRule="auto"/>
        <w:rPr>
          <w:sz w:val="20"/>
          <w:szCs w:val="20"/>
          <w:color w:val="auto"/>
        </w:rPr>
      </w:pPr>
      <w:r>
        <w:rPr>
          <w:rFonts w:ascii="Arial" w:cs="Arial" w:eastAsia="Arial" w:hAnsi="Arial"/>
          <w:sz w:val="16"/>
          <w:szCs w:val="16"/>
          <w:color w:val="auto"/>
        </w:rPr>
        <w:t>In June 2019, the Company entered into a global strategic collaboration agreement with Gilead, which was amended in August 2019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w:t>
      </w:r>
    </w:p>
    <w:p>
      <w:pPr>
        <w:spacing w:after="0" w:line="41"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Under the Gilead Agreement, Gilead has the option to license drug candidates directed to up to five targets resulting from the collaboration and is responsible for the clinical development and commercialization of product candidates resulting from the collaboration. The Company retains the option to co-develop and co-promote, under a profit share structure, up to two product candidates in the United States, provided that the Company may only exercise such option once per licensed product and Gilead retains the right to veto the Company’s option selection for any one product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56"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70"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Upon signing the Gilead Agreement, Gilead paid the Company an upfront payment of $45.0 million plus $3.0 million in additional fees. As of November 30, 2020, the Company is eligible to receive up to approximately $2.3 billion in total additional payments, including up to $697.5 million upon the achievement of specified development milestones, up to $1.5 billion upon the achievement of specified sales milestones, subject to reduction for any product for which the Company exercises its option to co-develop and co-promote, and up to $139.8 million in certain additional fees related to target licensing, reservation and selection and research term extensions.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 In June 2019, the Company received the $45.0 million upfront payment and $3.0 million in additional fees. In February 2020, the Company achieved a research milestone, resulting in a $2.5 million additional payment, which was received by the Company in April 2020. In May 2020, the Company recorded $1.0 million in additional fees related to certain target reservation, which was received in June 2020. In November 2020, the Company recognized two research milestones, resulting in a $7.5 million additional payment, which was received in January 2021.</w:t>
      </w:r>
    </w:p>
    <w:p>
      <w:pPr>
        <w:spacing w:after="0" w:line="64"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If Gilead does not exercise an option to license a drug candidate, then the Gilead Agreement will terminate at the end of the last to expire option period.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0" w:name="page131"/>
    <w:bookmarkEnd w:id="130"/>
    <w:p>
      <w:pPr>
        <w:ind w:right="40" w:firstLine="589"/>
        <w:spacing w:after="0" w:line="288" w:lineRule="auto"/>
        <w:rPr>
          <w:sz w:val="20"/>
          <w:szCs w:val="20"/>
          <w:color w:val="auto"/>
        </w:rPr>
      </w:pPr>
      <w:r>
        <w:rPr>
          <w:rFonts w:ascii="Arial" w:cs="Arial" w:eastAsia="Arial" w:hAnsi="Arial"/>
          <w:sz w:val="16"/>
          <w:szCs w:val="16"/>
          <w:color w:val="auto"/>
        </w:rPr>
        <w:t>The Company identified the following promises in the Gilead Agreement: (1) the research licenses, (2) the research services, including selection campaign research services for certain replacement targets and (3) the obligation to share information during the research and to participate in the joint research committee and joint steering committee. The Company determined that the research licenses are not capable of being distinct due to the specialized nature of the research services to be provided by the Company, and, accordingly, this promise was combined with the research services and participation in the joint research committee as one single performance obligation. The Company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6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order to determine the transaction price, the Company evaluated all the payments to be received during the duration of the contract. Certain milestones and additional fees were considered variable consideration, which were not included in the transaction price based on the most likely amount method as of November 30, 2020. The Company will re-evaluate the transaction price in each reporting period and as uncertain events are resolved or other changes in circumstances occur. The Company determined that the transaction price at the inception of the Gilead Agreement consists of the upfront payment of $45.0 million and $3.0 million in additional fees. Upon the achievement of research milestones in February and November 2020, and additional fees related to a target reservation in May 2020, $11.0 million in variable consideration was added to the transaction price, and a cumulative effect was recorded as revenue in the period the transaction price increased. The transaction price is recognized as collaboration revenue using the cost-based input method over the estimated contract term of five years. The contract term was determined to be the five-year initial research term which represents the estimated timing of completion of the identified deliverables. Additionally, the Company considered the impact of Gilead terminating the agreement prior to the completion of the research services during the initial five-year research term and determined that there were significant economic costs to Gilead for doing so, and as such, did not adjust the contract term.</w:t>
      </w:r>
    </w:p>
    <w:p>
      <w:pPr>
        <w:spacing w:after="0" w:line="74"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The cumulative effect of revisions to estimated costs to complete the Company’s performance obligation will be recorded in the period in which changes are identified and amounts can be reasonably estimated. These actual costs consist primarily of internal FTE efforts and third-party contract costs related to the Gilead Agreement.</w:t>
      </w:r>
    </w:p>
    <w:p>
      <w:pPr>
        <w:spacing w:after="0" w:line="80"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For the year ended November 30, 2020, the Company recognized collaboration revenue related to the Gilead Agreement of $12.1 million, of which $9.4 million was included in deferred revenue as of November 30, 2019, and $0.9 million was related to performance obligation satisfied in previous periods. For the year ended November 30, 2019, the Company recognized revenue related to the Gilead Agreement of $2.7 million. As of November 30, 2020, $44.2 million was recorded as deferred revenue, of which $14.5 million was current, on the consolidated balance sheet related to the Gilead Agreement.</w:t>
      </w:r>
    </w:p>
    <w:p>
      <w:pPr>
        <w:spacing w:after="0" w:line="80"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As of November 30, 2020, the Company recognized contract assets of $7.5 million on the consolidated balance sheet related to the Gilead Agreement. The contract assets represent unbilled revenue related to the research milestones achieved in November 2020. The Company invoiced Gilead in December 2020 and Gilead paid the amount in January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In December 2019, the Company entered into a strategic collaboration with Sanofi, which became effective in January 2020 and was subsequently expanded and amended in January 2021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with an option by Sanofi to expand to a total of five targets. Over time and subject to certain limitations, Sanofi may elect to replace the drug targets with other reserved targets.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1" w:name="page132"/>
    <w:bookmarkEnd w:id="131"/>
    <w:p>
      <w:pPr>
        <w:ind w:right="220" w:firstLine="589"/>
        <w:spacing w:after="0" w:line="291" w:lineRule="auto"/>
        <w:rPr>
          <w:sz w:val="20"/>
          <w:szCs w:val="20"/>
          <w:color w:val="auto"/>
        </w:rPr>
      </w:pPr>
      <w:r>
        <w:rPr>
          <w:rFonts w:ascii="Arial" w:cs="Arial" w:eastAsia="Arial" w:hAnsi="Arial"/>
          <w:sz w:val="16"/>
          <w:szCs w:val="16"/>
          <w:color w:val="auto"/>
        </w:rPr>
        <w:t>Under the Sanofi Agreement, Sanofi has exclusive rights and is responsible for the clinical development, commercialization and manufacture of product candidates resulting from the collaboration while the Company retains the option to co-develop, co-promote and co-commercialize up to two targets, one of which must be selected from a list of targets designated at the execution of the Sanofi Agreement and one of which must be selected from targets identified by Sanofi in the future.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future internal programs, provided that the Company distinguished future programs as excluded from the scope of the collaboration.</w:t>
      </w:r>
    </w:p>
    <w:p>
      <w:pPr>
        <w:spacing w:after="0" w:line="58"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chimeric targeting molecules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70"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Upon signing the Sanofi Agreement, Sanofi paid the Company an upfront payment of $55.0 million, which was received in January 2020. Subsequently in January 2021, Sanofi paid the Company an additional $22.0 million to exercise its option to expand the number of targets beyond the initial targets included in the collaboration. The Company is eligible to receive additional payments if Sanofi exercises an option to extend the license term with respect to a particular target. As of November 30, 2020, the Company is eligible to receive up to approximately $2.5 billion in total payments, including payments of up to $500.0 million upon the achievement of specified development milestones, up to $625.0 million upon the achievement of specified regulatory milestones and up to $1.3 billion upon the achievement of certain sales milestones, as well as up to $163.1 million in certain additional fees related to target licensing and reservation. In addition, the Company is eligible to receive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8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are not capable of being distinct due to the specialized nature of the research services to be provided by the Company, and, accordingly, this promise was combined with the research services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2" w:name="page133"/>
    <w:bookmarkEnd w:id="132"/>
    <w:p>
      <w:pPr>
        <w:ind w:firstLine="589"/>
        <w:spacing w:after="0" w:line="285" w:lineRule="auto"/>
        <w:rPr>
          <w:sz w:val="20"/>
          <w:szCs w:val="20"/>
          <w:color w:val="auto"/>
        </w:rPr>
      </w:pPr>
      <w:r>
        <w:rPr>
          <w:rFonts w:ascii="Arial" w:cs="Arial" w:eastAsia="Arial" w:hAnsi="Arial"/>
          <w:sz w:val="16"/>
          <w:szCs w:val="16"/>
          <w:color w:val="auto"/>
        </w:rPr>
        <w:t>In order to determine the transaction price, the Company evaluated all the payments to be received during the duration of the contract. Milestone and additional fees were considered variable consideration, which were not included in the transaction price based on the most likely amount method as of November 30, 2020. The Company will re-evaluate the transaction price in each reporting period and as uncertain events are resolved or other changes in circumstances occur. At the inception of the Sanofi Agreement, the Company determined that the transaction price consists of the upfront payment of $55.0 million. To account for the material right related to the two additional targets, instead of determining the standalone selling price for the option directly, the Company applied the practical alternative to allocating the transaction price by determining the consideration that it expects to receive in exchange for the research activities that it expects to provide on the two additional targets for a total of five targets. The practical alternative can be applied as the research activities for the two additional targets are similar to the research activities for the initial three targets. Consequently, for the purpose of applying the practical alternative to estimating the standalone selling price of the material right, an expected consideration of $77.0 million was used for revenue recognition allocation, which represents the $55.0 million paid upfront for the three initial drug targets, and the $22.0 million for the additional consideration related to two additional targets which was included as part of applying the practical alternative, which was subsequently exercised by Sanofi. Revenue is recognized over the research term of four years, the contractual initial research period, using the cost-based input method, which the Company determined most faithfully depicts the transfer of its performance obligations to Sanofi,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 These actual costs consist primarily of internal FTE efforts and third-party contract costs related to the Sanofi Agreement.</w:t>
      </w:r>
    </w:p>
    <w:p>
      <w:pPr>
        <w:spacing w:after="0" w:line="68"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For the year ended November 30, 2020, the Company recognized collaboration revenue related to the Sanofi Agreement of $5.7 million . As of November 30, 2020, $49.3 million was recorded as deferred revenue, of which $18.3 million was current, on the consolidated balance sheet related to the Sanofi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November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10,821</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2,483</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Software in progress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14,874</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(13,183)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(11,003)</w:t>
            </w:r>
          </w:p>
        </w:tc>
      </w:tr>
      <w:tr>
        <w:trPr>
          <w:trHeight w:val="223"/>
        </w:trPr>
        <w:tc>
          <w:tcPr>
            <w:tcW w:w="53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Depreciation and amortization expense was $2.2 million and $2.4 million for the years ended November 30, 2020 and 2019, respectively. All long-lived assets are maintained in the United States.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November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2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5,725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Accrued contract research and lab supplies</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1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FF0FC"/>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Accrued taxes</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FF0FC"/>
          </w:tcPr>
          <w:p>
            <w:pPr>
              <w:spacing w:after="0"/>
              <w:rPr>
                <w:sz w:val="19"/>
                <w:szCs w:val="19"/>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8,328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w:t>
            </w:r>
          </w:p>
        </w:tc>
        <w:tc>
          <w:tcPr>
            <w:tcW w:w="8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460" w:firstLine="589"/>
        <w:spacing w:after="0" w:line="257" w:lineRule="auto"/>
        <w:rPr>
          <w:sz w:val="20"/>
          <w:szCs w:val="20"/>
          <w:color w:val="auto"/>
        </w:rPr>
      </w:pPr>
      <w:r>
        <w:rPr>
          <w:rFonts w:ascii="Arial" w:cs="Arial" w:eastAsia="Arial" w:hAnsi="Arial"/>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0"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Level 1—Inputs that reflect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3—Inputs that are unobservable.</w:t>
      </w:r>
    </w:p>
    <w:p>
      <w:pPr>
        <w:spacing w:after="0" w:line="117"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76"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following tables presents the Company’s financial assets, which consist of cash equivalents and investments classified as available-for-sale investments, that are measured at fair value on a recurring basis as of November 30, 2020 and 2019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November 30, 2020</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4"/>
                <w:szCs w:val="14"/>
                <w:color w:val="auto"/>
              </w:rPr>
            </w:pPr>
          </w:p>
        </w:tc>
        <w:tc>
          <w:tcPr>
            <w:tcW w:w="880" w:type="dxa"/>
            <w:vAlign w:val="bottom"/>
          </w:tcPr>
          <w:p>
            <w:pPr>
              <w:jc w:val="right"/>
              <w:ind w:right="292"/>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2"/>
              </w:rPr>
              <w:t>Level 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114,357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114,357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U.S. treasury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12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U.S. government agency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Corporate commercial paper</w:t>
            </w:r>
          </w:p>
        </w:tc>
        <w:tc>
          <w:tcPr>
            <w:tcW w:w="12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Municipal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Corporate debt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U.S. government agency securities</w:t>
            </w:r>
          </w:p>
        </w:tc>
        <w:tc>
          <w:tcPr>
            <w:tcW w:w="12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Municipal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60"/>
              <w:spacing w:after="0"/>
              <w:rPr>
                <w:sz w:val="20"/>
                <w:szCs w:val="20"/>
                <w:color w:val="auto"/>
              </w:rPr>
            </w:pPr>
            <w:r>
              <w:rPr>
                <w:rFonts w:ascii="Arial" w:cs="Arial" w:eastAsia="Arial" w:hAnsi="Arial"/>
                <w:sz w:val="18"/>
                <w:szCs w:val="18"/>
                <w:color w:val="auto"/>
              </w:rPr>
              <w:t>Included in Cash and cash equivalents</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119,356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119,356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Included in Short-term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161,744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Included in Long-term investments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90,849</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90,890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November 30, 2019</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4"/>
                <w:szCs w:val="14"/>
                <w:color w:val="auto"/>
              </w:rPr>
            </w:pPr>
          </w:p>
        </w:tc>
        <w:tc>
          <w:tcPr>
            <w:tcW w:w="880" w:type="dxa"/>
            <w:vAlign w:val="bottom"/>
          </w:tcPr>
          <w:p>
            <w:pPr>
              <w:ind w:left="240"/>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2"/>
              </w:rPr>
              <w:t>Level 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U.S. treasury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12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U.S. government agency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Corporate debt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gridSpan w:val="2"/>
            <w:vMerge w:val="continue"/>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gridSpan w:val="2"/>
            <w:vMerge w:val="restart"/>
          </w:tcPr>
          <w:p>
            <w:pPr>
              <w:ind w:left="260"/>
              <w:spacing w:after="0"/>
              <w:rPr>
                <w:sz w:val="20"/>
                <w:szCs w:val="20"/>
                <w:color w:val="auto"/>
              </w:rPr>
            </w:pPr>
            <w:r>
              <w:rPr>
                <w:rFonts w:ascii="Arial" w:cs="Arial" w:eastAsia="Arial" w:hAnsi="Arial"/>
                <w:sz w:val="18"/>
                <w:szCs w:val="18"/>
                <w:color w:val="auto"/>
              </w:rPr>
              <w:t>Included in Cash and cash equivalents</w:t>
            </w:r>
          </w:p>
        </w:tc>
        <w:tc>
          <w:tcPr>
            <w:tcW w:w="1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34,816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Included in Short-term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Included in Long-term investments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340" w:firstLine="589"/>
        <w:spacing w:after="0" w:line="277" w:lineRule="auto"/>
        <w:rPr>
          <w:sz w:val="20"/>
          <w:szCs w:val="20"/>
          <w:color w:val="auto"/>
        </w:rPr>
      </w:pPr>
      <w:r>
        <w:rPr>
          <w:rFonts w:ascii="Arial" w:cs="Arial" w:eastAsia="Arial" w:hAnsi="Arial"/>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62"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The Company classifies its investments in corporate debt securities, U.S. government agency securities, corporate commercial paper, and municipal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years ended November 30, 2020 and 2019.</w:t>
      </w:r>
    </w:p>
    <w:p>
      <w:pPr>
        <w:spacing w:after="0" w:line="8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As of November 30, 2020 and 2019, none of the Company’s available-for-sale investments that were in an unrealized loss position had been in an unrealized loss position for more than 12 months. During the years ended November 30, 2020 and 2019, the Company did not recognize any other-than-temporary impairment losses.</w:t>
      </w:r>
    </w:p>
    <w:p>
      <w:pPr>
        <w:spacing w:after="0" w:line="76"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Company’s short-term investments have maturities of less than one year from the respective consolidated balance sheet dates. The Company’s long-term investments have maturities of between one and two years from the respective consolidated balance sheet 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November 30, 2020, the Company had no outstanding, pending or threatened litigation.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consolidated financial statements as management believes such liability is immaterial.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35" w:name="page136"/>
    <w:bookmarkEnd w:id="135"/>
    <w:p>
      <w:pPr>
        <w:ind w:right="400" w:firstLine="589"/>
        <w:spacing w:after="0" w:line="293" w:lineRule="auto"/>
        <w:rPr>
          <w:sz w:val="20"/>
          <w:szCs w:val="20"/>
          <w:color w:val="auto"/>
        </w:rPr>
      </w:pPr>
      <w:r>
        <w:rPr>
          <w:rFonts w:ascii="Arial" w:cs="Arial" w:eastAsia="Arial" w:hAnsi="Arial"/>
          <w:sz w:val="16"/>
          <w:szCs w:val="16"/>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The Company leases office and laboratory facilities in San Francisco, California under a lease agreement. The original lease term was scheduled to end 60 months following the Company’s full occupancy of the leased premises, which occurred in April 2015. In October 2015, the Company entered into a second lease agreement for additional space in the same building as its existing office and laboratory facilities. In November 2017, the Company entered into an amendment to its original lease agreement that combined the Company’s two leases into a single lease agreement and extended the term of the lease agreement through April 30, 2025. The Company is required to pay base rent plus the tenant’s proportionate share of operating expenses as defined in the lease agreement. Under the terms of the lease agreement, the Company paid the landlord security deposits totaling $91,000 and issued a letter of credit to the landlord in the amount of $70,000, which is collateralized by a restricted deposit of $70,000. In June 2020, the Company entered into a new lease agreement for additional space in the same building as the Company’s existing office for a 14-month term ending on July 31, 2021.</w:t>
      </w:r>
    </w:p>
    <w:p>
      <w:pPr>
        <w:spacing w:after="0" w:line="57" w:lineRule="exact"/>
        <w:rPr>
          <w:sz w:val="20"/>
          <w:szCs w:val="20"/>
          <w:color w:val="auto"/>
        </w:rPr>
      </w:pPr>
    </w:p>
    <w:p>
      <w:pPr>
        <w:ind w:right="240" w:firstLine="589"/>
        <w:spacing w:after="0" w:line="273" w:lineRule="auto"/>
        <w:rPr>
          <w:sz w:val="20"/>
          <w:szCs w:val="20"/>
          <w:color w:val="auto"/>
        </w:rPr>
      </w:pPr>
      <w:r>
        <w:rPr>
          <w:rFonts w:ascii="Arial" w:cs="Arial" w:eastAsia="Arial" w:hAnsi="Arial"/>
          <w:sz w:val="17"/>
          <w:szCs w:val="17"/>
          <w:color w:val="auto"/>
        </w:rPr>
        <w:t>In December 2015, the Company entered into its first sublease agreement under which a portion of the Company’s leased space is subleased to another tenant. The term of the sublease, which was originally scheduled to end on December 31, 2017, was extended through December 31, 2018 as the result of an amendment executed in November 2017. The sublessee defaulted on this sublease agreement in August 2018, upon which a new creditor negotiated a second amendment to sublease dated October 2018 and the sublease agreement became a month to month agreement that ended in February 2019. The Company entered into its second sublease agreement with a different tenant in November 2018, which was subsequently amended in March 2019 to increase the size of the space. The term of the second sublease ended in August 2019.</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Rent expense and sublease income was as follows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20" w:type="dxa"/>
            <w:vAlign w:val="bottom"/>
            <w:tcBorders>
              <w:bottom w:val="single" w:sz="8" w:color="auto"/>
            </w:tcBorders>
            <w:gridSpan w:val="5"/>
          </w:tcPr>
          <w:p>
            <w:pPr>
              <w:jc w:val="right"/>
              <w:ind w:right="315"/>
              <w:spacing w:after="0"/>
              <w:rPr>
                <w:sz w:val="20"/>
                <w:szCs w:val="20"/>
                <w:color w:val="auto"/>
              </w:rPr>
            </w:pPr>
            <w:r>
              <w:rPr>
                <w:rFonts w:ascii="Arial" w:cs="Arial" w:eastAsia="Arial" w:hAnsi="Arial"/>
                <w:sz w:val="14"/>
                <w:szCs w:val="14"/>
                <w:b w:val="1"/>
                <w:bCs w:val="1"/>
                <w:color w:val="auto"/>
              </w:rPr>
              <w:t>Year Ended November 30,</w:t>
            </w:r>
          </w:p>
        </w:tc>
        <w:tc>
          <w:tcPr>
            <w:tcW w:w="80" w:type="dxa"/>
            <w:vAlign w:val="bottom"/>
          </w:tcPr>
          <w:p>
            <w:pPr>
              <w:spacing w:after="0"/>
              <w:rPr>
                <w:sz w:val="14"/>
                <w:szCs w:val="14"/>
                <w:color w:val="auto"/>
              </w:rPr>
            </w:pPr>
          </w:p>
        </w:tc>
      </w:tr>
      <w:tr>
        <w:trPr>
          <w:trHeight w:val="223"/>
        </w:trPr>
        <w:tc>
          <w:tcPr>
            <w:tcW w:w="400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Rent expense under operating leases</w:t>
            </w:r>
          </w:p>
        </w:tc>
        <w:tc>
          <w:tcPr>
            <w:tcW w:w="13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3,023</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Sublease income</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r>
      <w:tr>
        <w:trPr>
          <w:trHeight w:val="223"/>
        </w:trPr>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rent expense</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3,023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minimum lease payments under the Company’s lease agreement as of November 30, 2020 were as follows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Year ending November 30,</w:t>
            </w: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55"/>
              <w:spacing w:after="0"/>
              <w:rPr>
                <w:sz w:val="20"/>
                <w:szCs w:val="20"/>
                <w:color w:val="auto"/>
              </w:rPr>
            </w:pPr>
            <w:r>
              <w:rPr>
                <w:rFonts w:ascii="Arial" w:cs="Arial" w:eastAsia="Arial" w:hAnsi="Arial"/>
                <w:sz w:val="14"/>
                <w:szCs w:val="14"/>
                <w:b w:val="1"/>
                <w:bCs w:val="1"/>
                <w:color w:val="auto"/>
              </w:rPr>
              <w:t>Operating</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Leases</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5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2022</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3,365</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3,438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2024</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3,541</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860" w:type="dxa"/>
            <w:vAlign w:val="bottom"/>
          </w:tcPr>
          <w:p>
            <w:pPr>
              <w:ind w:left="240"/>
              <w:spacing w:after="0"/>
              <w:rPr>
                <w:sz w:val="20"/>
                <w:szCs w:val="20"/>
                <w:color w:val="auto"/>
              </w:rPr>
            </w:pPr>
            <w:r>
              <w:rPr>
                <w:rFonts w:ascii="Arial" w:cs="Arial" w:eastAsia="Arial" w:hAnsi="Arial"/>
                <w:sz w:val="18"/>
                <w:szCs w:val="18"/>
                <w:color w:val="auto"/>
              </w:rPr>
              <w:t>Total minimum lease payments</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15,109</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20" w:type="dxa"/>
            <w:vAlign w:val="bottom"/>
            <w:vMerge w:val="restart"/>
          </w:tcPr>
          <w:p>
            <w:pPr>
              <w:jc w:val="right"/>
              <w:ind w:right="179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Company’s Certificate of Incorporation, as amended, authorizes the Company to issue up to 500,000,000 and 65,000,000 shares of $0.001 par value common stock as of November 30, 2020 and 2019, respectively. Holders of common stock are entitled to dividends when and if declared by the Company’s board of directors, subject to the prior rights of the preferred stockholders. The holder of each share of common stock is entitled to one vote. As of November 30, 2020, no dividends have been declared.</w:t>
      </w:r>
    </w:p>
    <w:p>
      <w:pPr>
        <w:spacing w:after="0" w:line="79"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Common stock reserved for future issuance, on an as-if converted basis, as of November 30, 2020 and 2019, consists of the following and has been adjusted for the 1-for-3 reverse stock split:</w:t>
      </w:r>
    </w:p>
    <w:p>
      <w:pPr>
        <w:spacing w:after="0" w:line="35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740"/>
              <w:spacing w:after="0"/>
              <w:rPr>
                <w:sz w:val="20"/>
                <w:szCs w:val="20"/>
                <w:color w:val="auto"/>
              </w:rPr>
            </w:pPr>
            <w:r>
              <w:rPr>
                <w:rFonts w:ascii="Arial" w:cs="Arial" w:eastAsia="Arial" w:hAnsi="Arial"/>
                <w:sz w:val="14"/>
                <w:szCs w:val="14"/>
                <w:b w:val="1"/>
                <w:bCs w:val="1"/>
                <w:color w:val="auto"/>
              </w:rPr>
              <w:t>November 30,</w:t>
            </w:r>
          </w:p>
        </w:tc>
      </w:tr>
      <w:tr>
        <w:trPr>
          <w:trHeight w:val="223"/>
        </w:trPr>
        <w:tc>
          <w:tcPr>
            <w:tcW w:w="542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redeemable convertible preferred</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12,813,887</w:t>
            </w:r>
          </w:p>
        </w:tc>
        <w:tc>
          <w:tcPr>
            <w:tcW w:w="80" w:type="dxa"/>
            <w:vAlign w:val="bottom"/>
            <w:shd w:val="clear" w:color="auto" w:fill="CFF0FC"/>
          </w:tcPr>
          <w:p>
            <w:pPr>
              <w:spacing w:after="0"/>
              <w:rPr>
                <w:sz w:val="20"/>
                <w:szCs w:val="20"/>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Issuance of options under stock option plan</w:t>
            </w:r>
          </w:p>
        </w:tc>
        <w:tc>
          <w:tcPr>
            <w:tcW w:w="1080" w:type="dxa"/>
            <w:vAlign w:val="bottom"/>
          </w:tcPr>
          <w:p>
            <w:pPr>
              <w:jc w:val="right"/>
              <w:spacing w:after="0"/>
              <w:rPr>
                <w:sz w:val="20"/>
                <w:szCs w:val="20"/>
                <w:color w:val="auto"/>
              </w:rPr>
            </w:pPr>
            <w:r>
              <w:rPr>
                <w:rFonts w:ascii="Arial" w:cs="Arial" w:eastAsia="Arial" w:hAnsi="Arial"/>
                <w:sz w:val="18"/>
                <w:szCs w:val="18"/>
                <w:color w:val="auto"/>
              </w:rPr>
              <w:t>4,387,862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1,913,792</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stock option grants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3,035,684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412,204</w:t>
            </w:r>
          </w:p>
        </w:tc>
        <w:tc>
          <w:tcPr>
            <w:tcW w:w="80" w:type="dxa"/>
            <w:vAlign w:val="bottom"/>
            <w:shd w:val="clear" w:color="auto" w:fill="CFF0FC"/>
          </w:tcPr>
          <w:p>
            <w:pPr>
              <w:spacing w:after="0"/>
              <w:rPr>
                <w:sz w:val="19"/>
                <w:szCs w:val="19"/>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Shares available for issuance under employee stock</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purchase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730,000</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common stock reserved for future issuance</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8,153,546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15,139,883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jc w:val="both"/>
        <w:ind w:right="120" w:firstLine="589"/>
        <w:spacing w:after="0" w:line="286" w:lineRule="auto"/>
        <w:rPr>
          <w:sz w:val="20"/>
          <w:szCs w:val="20"/>
          <w:color w:val="auto"/>
        </w:rPr>
      </w:pPr>
      <w:r>
        <w:rPr>
          <w:rFonts w:ascii="Arial" w:cs="Arial" w:eastAsia="Arial" w:hAnsi="Arial"/>
          <w:sz w:val="17"/>
          <w:szCs w:val="17"/>
          <w:color w:val="auto"/>
        </w:rPr>
        <w:t>The Company’s Certificate of Incorporation, as amended, authorizes the Company to issue zero and 48,441,667 shares of redeemable convertible preferred stock as of November 30, 2020 and 2019, respectively, with a par value of $0.001 per share. Designated and outstanding redeemable convertible preferred stock and its principal terms were as follows at November 30, 2019 (in thousands, except share amounts):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and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authorized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1,800,000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Series A-2</w:t>
            </w:r>
          </w:p>
        </w:tc>
        <w:tc>
          <w:tcPr>
            <w:tcW w:w="1020" w:type="dxa"/>
            <w:vAlign w:val="bottom"/>
          </w:tcPr>
          <w:p>
            <w:pPr>
              <w:jc w:val="right"/>
              <w:spacing w:after="0"/>
              <w:rPr>
                <w:sz w:val="20"/>
                <w:szCs w:val="20"/>
                <w:color w:val="auto"/>
              </w:rPr>
            </w:pPr>
            <w:r>
              <w:rPr>
                <w:rFonts w:ascii="Arial" w:cs="Arial" w:eastAsia="Arial" w:hAnsi="Arial"/>
                <w:sz w:val="18"/>
                <w:szCs w:val="18"/>
                <w:color w:val="auto"/>
              </w:rPr>
              <w:t>6,625,000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2,208,332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B</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35,150,000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8,383,333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C</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4,866,667</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1,622,222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48,441,667</w:t>
            </w:r>
          </w:p>
        </w:tc>
        <w:tc>
          <w:tcPr>
            <w:tcW w:w="2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12,813,887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48,383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In March 2020, the Company issued 9,431,364 shares of Series D redeemable convertible preferred stock at an issuance price of $12.75 per share, resulting in net proceeds of $119.9 million. The Series D redeemable convertible preferred stock had a liquidation price per share equal to the original issue price per share.</w:t>
      </w:r>
    </w:p>
    <w:p>
      <w:pPr>
        <w:spacing w:after="0" w:line="7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Immediately prior to the closing of the IPO in July 2020, all shares of redeemable convertible preferred stock then outstanding, including 9,431,364 shares of Series D redeemable convertible preferred stock, converted into 22,245,251 shares of common stock. There were no shares of redeemable convertible preferred stock outstanding as of November 30, 2020.</w:t>
      </w:r>
    </w:p>
    <w:p>
      <w:pPr>
        <w:spacing w:after="0" w:line="76"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redeemable convertible preferred stock was recorded in mezzanine equity because while it was not mandatorily redeemable, it would have become redeemable at the option of the preferred stockholders upon the occurrence of a deemed liquidation event that was considered not solely within the Company’s control.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In July 2020, the Company’s board of directors approved, and the Company adopted the 2020 Equity Incentive Plan (the 2020 Plan). The 2020 Plan became effective on July 22, 2020. The 2020 Plan provides for the granting of stock options, stock appreciation rights (SARs), restricted stock awards (RSAs), restricted stock units (RSUs), performance awards and stock bonus awards to employees, directors, consultants, independent contractors and advisors of the Company. Under the 2020 Plan, the Company generally grants stock-based awards with service-based vesting conditions only. Options granted typically vest over a four-year period but may be granted with different vesting terms. In the case of an incentive stock option granted to an employee who at the time of grant owns stock representing more than 10% of the total combined voting power of all classes of stock, the exercise price shall be no less than 110% of the fair value per share on the date of grant, and the award shall expire five years from the date of grant. In the case of all other stock options, the per share exercise price shall be no less than 100% of the fair value per share on the date of grant.</w:t>
      </w:r>
    </w:p>
    <w:p>
      <w:pPr>
        <w:spacing w:after="0" w:line="57"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auto"/>
        </w:rPr>
        <w:t>Following the effectiveness of the 2020 Plan, the Company ceased making grants under the 2012 Equity Incentive Plan (the 2012 Plan). However, the 2012 Plan continues to govern the terms and conditions of the outstanding awards granted under it. Shares of common stock subject to awards granted under the 2012 Plan that cease to be subject to such awards by forfeiture or otherwise after the termination of the 2012 Plan will be available for issuance under the 2020 Plan.</w:t>
      </w:r>
    </w:p>
    <w:p>
      <w:pPr>
        <w:spacing w:after="0" w:line="79"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As of November 30, 2020, there were 3,035,684 shares of common stock reserved for future issuance pursuant to the 2020 Plan. In December 2020, an additional 1,554,594 shares of common stock were reserved for issuance pursuant to the 2020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117" w:lineRule="exact"/>
        <w:rPr>
          <w:sz w:val="20"/>
          <w:szCs w:val="20"/>
          <w:color w:val="auto"/>
        </w:rPr>
      </w:pPr>
    </w:p>
    <w:p>
      <w:pPr>
        <w:jc w:val="both"/>
        <w:ind w:right="80" w:firstLine="589"/>
        <w:spacing w:after="0" w:line="259" w:lineRule="auto"/>
        <w:rPr>
          <w:sz w:val="20"/>
          <w:szCs w:val="20"/>
          <w:color w:val="auto"/>
        </w:rPr>
      </w:pPr>
      <w:r>
        <w:rPr>
          <w:rFonts w:ascii="Arial" w:cs="Arial" w:eastAsia="Arial" w:hAnsi="Arial"/>
          <w:sz w:val="18"/>
          <w:szCs w:val="18"/>
          <w:color w:val="auto"/>
        </w:rPr>
        <w:t>In April 2012, the Company’s board of directors approved, and the Company adopted the 2012 Plan. The 2012 Plan provides for the granting of stock options, SARs, RSAs, and RSUs to employees, directors, consultants and advisors of the Company. Options granted under the 2012 Plan generally vest over four years. Options granted under the 2012 Plan may, but need not, be exercisable immediately, with any shares issued on exercise being subject to the Company’s right of repurchase.</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November 30, 2020, there were no shares of common stock reserved for issuance pursuant to the 2012 Plan.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38" w:name="page139"/>
    <w:bookmarkEnd w:id="138"/>
    <w:p>
      <w:pPr>
        <w:ind w:right="300" w:firstLine="589"/>
        <w:spacing w:after="0" w:line="277" w:lineRule="auto"/>
        <w:rPr>
          <w:sz w:val="20"/>
          <w:szCs w:val="20"/>
          <w:color w:val="auto"/>
        </w:rPr>
      </w:pPr>
      <w:r>
        <w:rPr>
          <w:rFonts w:ascii="Arial" w:cs="Arial" w:eastAsia="Arial" w:hAnsi="Arial"/>
          <w:sz w:val="18"/>
          <w:szCs w:val="18"/>
          <w:color w:val="auto"/>
        </w:rPr>
        <w:t>Activity under the 2020 Plan and 2012 Plan is set forth below and has been adjusted for the 1-for-3 reverse stock split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exercise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life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Balances as of November 30,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1,913,792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Options 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3,059,392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14.49</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(479,151)</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Options forfeited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(106,171)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Balances as of November 30,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4,387,862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as of November</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24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1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30, 2020</w:t>
            </w:r>
            <w:r>
              <w:rPr>
                <w:rFonts w:ascii="Arial" w:cs="Arial" w:eastAsia="Arial" w:hAnsi="Arial"/>
                <w:sz w:val="15"/>
                <w:szCs w:val="15"/>
                <w:color w:val="auto"/>
              </w:rPr>
              <w:t>(2)</w:t>
            </w:r>
          </w:p>
        </w:tc>
        <w:tc>
          <w:tcPr>
            <w:tcW w:w="4080" w:type="dxa"/>
            <w:vAlign w:val="bottom"/>
            <w:tcBorders>
              <w:bottom w:val="single" w:sz="8" w:color="CFF0FC"/>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4,529,374</w:t>
            </w:r>
          </w:p>
        </w:tc>
        <w:tc>
          <w:tcPr>
            <w:tcW w:w="22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Borders>
              <w:bottom w:val="single" w:sz="8" w:color="CFF0FC"/>
            </w:tcBorders>
          </w:tcPr>
          <w:p>
            <w:pPr>
              <w:spacing w:after="0"/>
              <w:rPr>
                <w:sz w:val="23"/>
                <w:szCs w:val="23"/>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146,733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Options exercisable as of November 30, 2020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3,025,413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right="20" w:hanging="572"/>
        <w:spacing w:after="0" w:line="212" w:lineRule="auto"/>
        <w:tabs>
          <w:tab w:leader="none" w:pos="5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The aggregate intrinsic values were calculated as the pre-tax difference between the exercise price of stock options and the quoted market price of the Company’s common stock on November 30, 2020 for all in-the-money stock options. The total intrinsic value of stock options exercised during the years ended November 30, 2020 and 2019, was $3.4 million and $0.1 million, respectively.</w:t>
      </w:r>
    </w:p>
    <w:p>
      <w:pPr>
        <w:spacing w:after="0" w:line="95" w:lineRule="exact"/>
        <w:rPr>
          <w:rFonts w:ascii="Arial" w:cs="Arial" w:eastAsia="Arial" w:hAnsi="Arial"/>
          <w:sz w:val="29"/>
          <w:szCs w:val="29"/>
          <w:color w:val="auto"/>
          <w:vertAlign w:val="superscript"/>
        </w:rPr>
      </w:pPr>
    </w:p>
    <w:p>
      <w:pPr>
        <w:ind w:left="580" w:right="100" w:hanging="572"/>
        <w:spacing w:after="0" w:line="229" w:lineRule="auto"/>
        <w:tabs>
          <w:tab w:leader="none" w:pos="5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Certain stock options granted by the Company prior to the date of IPO are exercisable at the date of grant, with unvested shares subject to repurchase by the Company in the event of voluntary or involuntary termination of employment of the stockholder. Such exercises are recorded as a liability in the consolidated balance sheet and reclassified into equity as the options vest. As of November 30, 2020, a total of 141,512 shares of common stock were subject to repurchase by the Company at the lower of (i) the fair market value of such shares on the date of repurchase, or (ii) the original exercise price of such shares. The corresponding exercise value of $0.5 million as of November 30, 2020 is recorded in share-based compensation liability.</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In July 2020, the Company’s board of directors adopted the 2020 Employee Stock Purchase Plan (the 2020 ESPP) that became effective upon the date of the IPO in order to enable eligible employees to purchase shares of common stock with accumulated payroll deductions. The 2020 ESPP is intended to qualify under Section 423 of the Internal Revenue Code, as amended. Under the 2020 ESPP, eligible employees are offered the option to purchase shares of common stock at a discount over a series of offering periods. Each offering period may consist of one or more purchase periods. The purchase price for shares of common stock purchased under the 2020 ESPP will be 85% of the lesser of the fair market value of the Company’s common stock on (i) the first trading day of the applicable offering period or (ii) the last trading day of each purchase period in the applicable offering period.</w:t>
      </w:r>
    </w:p>
    <w:p>
      <w:pPr>
        <w:spacing w:after="0" w:line="5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As of November 30, 2020, there were 730,000 shares of common stock reserved for issuance pursuant to the 2020 ESPP. The first offering period commenced as of July 23, 2020, the date on which the Company’s registration statement on Form S-1 relating to its IPO of common stock became effective and ended on February 15, 2021. The first purchase period was the same as the first offering period and the first purchase date was the last trading day of the purchase period, which was February 12, 2021.</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December 2020, an additional 388,648 shares of common stock were reserved for issuance pursuant to the 2020 ESPP.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During the years ended November 30, 2020 and 2019, the weighted-average grant date fair value of options granted was $9.50 and $1.41 per share, respectively. The total fair value of employee options vested during the years ended November 30, 2020 and 2019 was $3.1 million and $0.5 million, respectively.</w:t>
      </w:r>
    </w:p>
    <w:p>
      <w:pPr>
        <w:spacing w:after="0" w:line="76"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 pricing model. The fair value of employee stock options is amortized on a straight-line basis over the requisite service period of the awards. The fair value of the employee stock options granted during the following years was estimated using the following assumptions: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1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3"/>
              </w:rPr>
              <w:t>November 30,</w:t>
            </w:r>
          </w:p>
        </w:tc>
        <w:tc>
          <w:tcPr>
            <w:tcW w:w="1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23"/>
        </w:trPr>
        <w:tc>
          <w:tcPr>
            <w:tcW w:w="768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5.41 - 6.98 years</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5.92 - 6.08 years</w:t>
            </w:r>
          </w:p>
        </w:tc>
        <w:tc>
          <w:tcPr>
            <w:tcW w:w="2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tcPr>
          <w:p>
            <w:pPr>
              <w:jc w:val="right"/>
              <w:spacing w:after="0"/>
              <w:rPr>
                <w:sz w:val="20"/>
                <w:szCs w:val="20"/>
                <w:color w:val="auto"/>
              </w:rPr>
            </w:pPr>
            <w:r>
              <w:rPr>
                <w:rFonts w:ascii="Arial" w:cs="Arial" w:eastAsia="Arial" w:hAnsi="Arial"/>
                <w:sz w:val="18"/>
                <w:szCs w:val="18"/>
                <w:color w:val="auto"/>
              </w:rPr>
              <w:t>73% - 79%</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111 - 116%</w:t>
            </w:r>
          </w:p>
        </w:tc>
        <w:tc>
          <w:tcPr>
            <w:tcW w:w="2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 - 1.79%</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1.42 - 2.55%</w:t>
            </w:r>
          </w:p>
        </w:tc>
        <w:tc>
          <w:tcPr>
            <w:tcW w:w="2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Dividend yield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bl>
    <w:p>
      <w:pPr>
        <w:spacing w:after="0" w:line="309"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The expected term of stock options represents the weighted-average period the stock options are expected to remain outstanding. The expected term assumption was determined based on the expected term as disclosed for comparable publicly traded biopharmaceutical companies since the Company does not have sufficient experience to estimate the expected term based on historical exercises. The expected stock price volatility assumption was determined by examining the historical volatilities for industry peers, as the Company does not have sufficient trading history for its common stock. The risk-free rate assumption is based on the U.S. Treasury instruments whose term was consistent with the expected term of the Company’s stock options. The expected dividend assumption is based on the Company’s history and expectation of dividend payouts. The expected dividend yield is 0.0% as the Company has not paid and does not anticipate paying dividends on its common stock.</w:t>
      </w:r>
    </w:p>
    <w:p>
      <w:pPr>
        <w:spacing w:after="0" w:line="69"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following table sets forth stock-based compensation expense related to stock options and ESPP that is included in the Company’s consolidated statements of operations (in thousands):</w:t>
      </w:r>
    </w:p>
    <w:p>
      <w:pPr>
        <w:spacing w:after="0" w:line="35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November 30,</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384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1,726</w:t>
            </w: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2,575</w:t>
            </w:r>
          </w:p>
        </w:tc>
        <w:tc>
          <w:tcPr>
            <w:tcW w:w="1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FF0FC"/>
            </w:tcBorders>
          </w:tcPr>
          <w:p>
            <w:pPr>
              <w:spacing w:after="0"/>
              <w:rPr>
                <w:sz w:val="19"/>
                <w:szCs w:val="19"/>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5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4,301</w:t>
            </w:r>
          </w:p>
        </w:tc>
        <w:tc>
          <w:tcPr>
            <w:tcW w:w="1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As of November 30, 2020, the total compensation cost related to stock-based awards not yet recognized was $26.8 million, which is expected to be amortized on a straight-line basis over the weighted-average remaining vesting period of approximately 3.5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Defined Contribution Plan</w:t>
      </w:r>
    </w:p>
    <w:p>
      <w:pPr>
        <w:spacing w:after="0" w:line="121"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The Company sponsors a defined-contribution savings plan under Section 401(k) of the Internal Revenue Code (the 401(k) Plan), which provides for the Company to make discretionary matching or discretionary annual contributions to the 401(k) Plan, for its employees. Substantially all of the Company’s employees are eligible to participate. Employees may contribute a percentage of their annual compensation to the plan, subject to statutory limitations. The Company made contributions to the 401(k) Plan during the years ended November 30, 2020 and 2019. The Company recorded contribution expense of $0.4 million and $0.3 million during the years ended November 30, 2020 and 2019,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Company recorded a current income tax benefit of $20.5 million for the year ended November 30, 2020, primarily due to carryback of net operating losses to prior years and changes in reserves for unrecognized tax benefits. The Company recorded a current income tax expense of $0.2 million for the year ended November 30, 2019, primarily due to reserves for unrecognized tax benefits, minimum state taxes and a true-up from the prior year. The Company had generated net operating losses (NOLs) since inception and has established a valuation allowance against its deferred tax assets due to the uncertainty surrounding the realization of such assets.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Loss before provision for income taxes includes the following component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November 30,</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240" w:type="dxa"/>
            <w:vAlign w:val="bottom"/>
            <w:tcBorders>
              <w:bottom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(63,777)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consists of the following: (in thousands):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1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November 30,</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(20,577)</w:t>
            </w:r>
          </w:p>
        </w:tc>
        <w:tc>
          <w:tcPr>
            <w:tcW w:w="440" w:type="dxa"/>
            <w:vAlign w:val="bottom"/>
            <w:gridSpan w:val="3"/>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ind w:left="1100"/>
              <w:spacing w:after="0"/>
              <w:rPr>
                <w:sz w:val="20"/>
                <w:szCs w:val="20"/>
                <w:color w:val="auto"/>
              </w:rPr>
            </w:pPr>
            <w:r>
              <w:rPr>
                <w:rFonts w:ascii="Arial" w:cs="Arial" w:eastAsia="Arial" w:hAnsi="Arial"/>
                <w:sz w:val="18"/>
                <w:szCs w:val="18"/>
                <w:color w:val="auto"/>
              </w:rPr>
              <w:t>Total (benefit) provision for income taxes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(20,535)</w:t>
            </w:r>
          </w:p>
        </w:tc>
        <w:tc>
          <w:tcPr>
            <w:tcW w:w="1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effective tax rate differs from the federal statutory rate as follows:</w:t>
      </w:r>
    </w:p>
    <w:p>
      <w:pPr>
        <w:spacing w:after="0" w:line="200" w:lineRule="exact"/>
        <w:rPr>
          <w:sz w:val="20"/>
          <w:szCs w:val="20"/>
          <w:color w:val="auto"/>
        </w:rPr>
      </w:pPr>
    </w:p>
    <w:p>
      <w:pPr>
        <w:spacing w:after="0" w:line="206"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6350</wp:posOffset>
            </wp:positionV>
            <wp:extent cx="15259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22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6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State income tax rate</w:t>
            </w: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Unrecognized income tax benefits</w:t>
            </w: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rate impact due to CARES Act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(37.0)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ind w:left="170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jc w:val="right"/>
              <w:ind w:right="1070"/>
              <w:spacing w:after="0"/>
              <w:rPr>
                <w:sz w:val="20"/>
                <w:szCs w:val="20"/>
                <w:color w:val="auto"/>
              </w:rPr>
            </w:pPr>
            <w:r>
              <w:rPr>
                <w:rFonts w:ascii="Arial" w:cs="Arial" w:eastAsia="Arial" w:hAnsi="Arial"/>
                <w:sz w:val="18"/>
                <w:szCs w:val="18"/>
                <w:color w:val="auto"/>
              </w:rPr>
              <w:t>139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17"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deferred tax assets for federal and state income taxes are as follows (in thousands):</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 ended November 30,</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25,145</w:t>
            </w:r>
          </w:p>
        </w:tc>
        <w:tc>
          <w:tcPr>
            <w:tcW w:w="14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31,533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10,536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Accruals and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deferred tax assets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47,408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(47,408)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(39,763)</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480"/>
              <w:spacing w:after="0"/>
              <w:rPr>
                <w:sz w:val="20"/>
                <w:szCs w:val="20"/>
                <w:color w:val="auto"/>
              </w:rPr>
            </w:pPr>
            <w:r>
              <w:rPr>
                <w:rFonts w:ascii="Arial" w:cs="Arial" w:eastAsia="Arial" w:hAnsi="Arial"/>
                <w:sz w:val="18"/>
                <w:szCs w:val="18"/>
                <w:color w:val="auto"/>
              </w:rPr>
              <w:t>Total deferred tax liabilities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Realization of the deferred tax assets is dependent upon future taxable income, the amount, if any, and timing of which are uncertain. The Company has established a valuation allowance to offset deferred tax assets as of November 30, 2020 and 2019 due to the uncertainty of realizing future tax benefits from its NOL carryforwards and other deferred tax assets. The valuation allowance increased by $7.6 million during the year ended November 30, 2020. The increase in the valuation allowance in 2020 is primarily related to an increase on the deferred tax asset for deferred revenue. The valuation allowance increased by $8.5 million during the year ended November 30, 2019. The increase in the valuation allowance for 2019 is primarily due to an increase in NOL carryforwards.</w:t>
      </w:r>
    </w:p>
    <w:p>
      <w:pPr>
        <w:spacing w:after="0" w:line="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As of November 30, 2020, the Company had NOL carryforwards available to reduce future taxable income, if any, for federal and state income tax purposes of $55.7 million and $153.3 million, respectively. Federal NOL carryforwards generated for tax years beginning before December 31, 2017 can be carried forward twenty years and begin expiring in 2029. Federal NOL carryforwards of $52.0 million for tax years beginning after December 31, 2017 can be carried forward indefinitely.</w:t>
      </w:r>
    </w:p>
    <w:p>
      <w:pPr>
        <w:spacing w:after="0" w:line="79"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State NOL carryforwards begin expiring in 2029. As of November 30, 2020, the Company had federal and state research credit carryforwards of $7.7 million and $7.0 million, respectively. If not utilized, the federal credit carryforwards will begin expiring in 2032 and the state credits carry forward indefinitely.</w:t>
      </w:r>
    </w:p>
    <w:p>
      <w:pPr>
        <w:spacing w:after="0" w:line="76" w:lineRule="exact"/>
        <w:rPr>
          <w:sz w:val="20"/>
          <w:szCs w:val="20"/>
          <w:color w:val="auto"/>
        </w:rPr>
      </w:pPr>
    </w:p>
    <w:p>
      <w:pPr>
        <w:ind w:right="240" w:firstLine="589"/>
        <w:spacing w:after="0" w:line="255" w:lineRule="auto"/>
        <w:rPr>
          <w:sz w:val="20"/>
          <w:szCs w:val="20"/>
          <w:color w:val="auto"/>
        </w:rPr>
      </w:pPr>
      <w:r>
        <w:rPr>
          <w:rFonts w:ascii="Arial" w:cs="Arial" w:eastAsia="Arial" w:hAnsi="Arial"/>
          <w:sz w:val="18"/>
          <w:szCs w:val="18"/>
          <w:color w:val="auto"/>
        </w:rPr>
        <w:t>Internal Revenue Code Section 382 places a limitation on the utilization of NOL and tax credit carryforwards in the event of certain cumulative changes in the ownership interest of significant stockholders over a three-year period in excess of 50 percentage points. The Company has identified two ownership changes that have triggered a limitation on pre-change NOLs under Section 382. A majority of the Company’s pre-change NOLs remain available within the carryforward period provided by the Internal Revenue Code, subject to availability of taxable income. As a result of the ownership changes, the Company has determined that approximately $0.4 million of NOLs will expire unutilized, and as such, these NOLs are not reflected in the Company’s deferred tax asset balance.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The Company has recorded a liability related to uncertain tax positions in the financial statements. The Company believes that it is reasonably possible that unrecognized income tax benefits will decrease by $1.5 million within the next twelve months as a result of audit settlements with the Internal Revenue Service (IRS). It is the Company’s policy to include penalties and interest expense related to income taxes as a component for the provision for income taxes. The Company has unrecognized tax benefits of $5.4 million as of November 30, 2020, all of which are offset by a full valuation allowance. There are no tax benefits included in the balance of unrecognized tax benefits that, if recognized, would affect the effective tax rate. There are no interest and penalties accrued as of November 30, 2020. A reconciliation of the beginning and ending amounts of unrecognized income tax benefits during the years ended November 30, 2020 and 2019 is as follows (in thousands):</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Years ended November 30,</w:t>
            </w:r>
          </w:p>
        </w:tc>
      </w:tr>
      <w:tr>
        <w:trPr>
          <w:trHeight w:val="223"/>
        </w:trPr>
        <w:tc>
          <w:tcPr>
            <w:tcW w:w="5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80" w:type="dxa"/>
            <w:vAlign w:val="bottom"/>
            <w:shd w:val="clear" w:color="auto" w:fill="CFF0FC"/>
          </w:tcPr>
          <w:p>
            <w:pPr>
              <w:spacing w:after="0"/>
              <w:rPr>
                <w:sz w:val="19"/>
                <w:szCs w:val="19"/>
                <w:color w:val="auto"/>
              </w:rPr>
            </w:pPr>
          </w:p>
        </w:tc>
      </w:tr>
      <w:tr>
        <w:trPr>
          <w:trHeight w:val="215"/>
        </w:trPr>
        <w:tc>
          <w:tcPr>
            <w:tcW w:w="5360" w:type="dxa"/>
            <w:vAlign w:val="bottom"/>
          </w:tcPr>
          <w:p>
            <w:pPr>
              <w:ind w:left="240"/>
              <w:spacing w:after="0"/>
              <w:rPr>
                <w:sz w:val="20"/>
                <w:szCs w:val="20"/>
                <w:color w:val="auto"/>
              </w:rPr>
            </w:pPr>
            <w:r>
              <w:rPr>
                <w:rFonts w:ascii="Arial" w:cs="Arial" w:eastAsia="Arial" w:hAnsi="Arial"/>
                <w:sz w:val="18"/>
                <w:szCs w:val="18"/>
                <w:color w:val="auto"/>
              </w:rPr>
              <w:t>Additions based on tax positions related to prior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period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0"/>
                <w:szCs w:val="20"/>
                <w:color w:val="auto"/>
              </w:rPr>
            </w:pPr>
          </w:p>
        </w:tc>
      </w:tr>
      <w:tr>
        <w:trPr>
          <w:trHeight w:val="215"/>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based on tax positions related to current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period</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FF0FC"/>
          </w:tcPr>
          <w:p>
            <w:pPr>
              <w:spacing w:after="0"/>
              <w:rPr>
                <w:sz w:val="20"/>
                <w:szCs w:val="20"/>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(1,180)</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Company files income tax returns in the United States and in various states. The Internal Revenue Service (the IRS) commenced an examination of the Company’s U.S. income tax return for the year ended December 31, 2016 in the first quarter of 2018 that is anticipated to be completed in 2021. In September 2020, the Company and the IRS reached a settlement on a R&amp;D credit issue. The Company removed the associated unrecognized tax benefit reserve and decreased its R&amp;D credit carryforward by $1.0 million. The Company also increased its uncertain tax benefit reserve related to its 2018 and 2019 R&amp;D credits. Additionally, the California Franchise Tax Board (the FTB) initiated an examination of the Company’s California tax return for the years ended December 31, 2015 and 2016. As of the filing date, the FTB has not yet issued any assessments. All of the Company’s tax years will remain open for examination by the federal and state authorities for three and four years, respectively, from the date of utilization of any net operating loss or credits.</w:t>
      </w:r>
    </w:p>
    <w:p>
      <w:pPr>
        <w:spacing w:after="0" w:line="84" w:lineRule="exact"/>
        <w:rPr>
          <w:sz w:val="20"/>
          <w:szCs w:val="20"/>
          <w:color w:val="auto"/>
        </w:rPr>
      </w:pPr>
    </w:p>
    <w:p>
      <w:pPr>
        <w:ind w:right="80" w:firstLine="589"/>
        <w:spacing w:after="0" w:line="287" w:lineRule="auto"/>
        <w:rPr>
          <w:sz w:val="20"/>
          <w:szCs w:val="20"/>
          <w:color w:val="auto"/>
        </w:rPr>
      </w:pPr>
      <w:r>
        <w:rPr>
          <w:rFonts w:ascii="Arial" w:cs="Arial" w:eastAsia="Arial" w:hAnsi="Arial"/>
          <w:sz w:val="16"/>
          <w:szCs w:val="16"/>
          <w:color w:val="auto"/>
        </w:rPr>
        <w:t>On March 27, 2020, the Coronavirus Aid, Relief, and Economic Security Act (the CARES Act) was enacted in response to the COVID-19 pandemic. The CARES Act, among other things, permits net operating loss (NOL) carryovers and carrybacks to offset 100% of taxable income for taxable years beginning before 2021. In addition, the CARES Act allows NOLs incurred in taxable years 2018, 2019, and 2020 to be carried back to each of the five preceding taxable years to generate a refund of previously paid income taxes. Any tax benefit as a result of the CARES Act is primarily due to the carryback of NOLs to prior taxable years and increased interest expense deductions. In April 2020, the Company filed a refund claim of $15.7 million to carryback its NOLs generated in the fiscal year ended November 30, 2018, and in November 2020, the Company filed an additional refund claim to carryback its NOLs generated in the fiscal year ended November 30, 2019 to recover an additional $3.9 million of income tax. Additionally, as a result of the CARES Act, NOL carryback claims displaced certain research and development credits that were originally used to offset previous tax expense. As a result, the Company recorded an income tax benefit of $20.6 million, which consist of the carryback claims and the reversal of the uncertain tax liabilities. The Company received the cash for the first refund claim of $16.3 million including an interest income of $0.6 million, leaving the remaining income tax receivable of $3.9 million for the anticipated tax refund claims on the consolidated balance sheet as of November 30, 2020.</w:t>
      </w:r>
    </w:p>
    <w:p>
      <w:pPr>
        <w:spacing w:after="0" w:line="64" w:lineRule="exact"/>
        <w:rPr>
          <w:sz w:val="20"/>
          <w:szCs w:val="20"/>
          <w:color w:val="auto"/>
        </w:rPr>
      </w:pPr>
    </w:p>
    <w:p>
      <w:pPr>
        <w:jc w:val="both"/>
        <w:ind w:right="40" w:firstLine="589"/>
        <w:spacing w:after="0" w:line="301" w:lineRule="auto"/>
        <w:rPr>
          <w:sz w:val="20"/>
          <w:szCs w:val="20"/>
          <w:color w:val="auto"/>
        </w:rPr>
      </w:pPr>
      <w:r>
        <w:rPr>
          <w:rFonts w:ascii="Arial" w:cs="Arial" w:eastAsia="Arial" w:hAnsi="Arial"/>
          <w:sz w:val="16"/>
          <w:szCs w:val="16"/>
          <w:color w:val="auto"/>
        </w:rPr>
        <w:t>On December 22, 2017, the Tax Cuts and Jobs Act of 2017 (TCJA) was enacted into law and the effect of the tax law change was reflected in the period of enactment. Most significantly for the Company, the TCJA reduced the income tax rate to 21% effective January 1, 2018. The Company included the impact of the reduced tax rate in its fiscal year ended November 30, 2018. The Company's 2018 and 2019 net operating losses were carried back to pre-2017 years when the tax rate was 35%. The Company recorded an income tax benefit for the use of the net operating losses at the higher rate.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right="100" w:firstLine="589"/>
        <w:spacing w:after="0" w:line="308" w:lineRule="auto"/>
        <w:rPr>
          <w:sz w:val="20"/>
          <w:szCs w:val="20"/>
          <w:color w:val="auto"/>
        </w:rPr>
      </w:pPr>
      <w:r>
        <w:rPr>
          <w:rFonts w:ascii="Arial" w:cs="Arial" w:eastAsia="Arial" w:hAnsi="Arial"/>
          <w:sz w:val="17"/>
          <w:szCs w:val="17"/>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35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November 30,</w:t>
            </w:r>
          </w:p>
        </w:tc>
      </w:tr>
      <w:tr>
        <w:trPr>
          <w:trHeight w:val="223"/>
        </w:trPr>
        <w:tc>
          <w:tcPr>
            <w:tcW w:w="5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(43,242)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(21,699)</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5360" w:type="dxa"/>
            <w:vAlign w:val="bottom"/>
          </w:tcPr>
          <w:p>
            <w:pPr>
              <w:ind w:left="240"/>
              <w:spacing w:after="0"/>
              <w:rPr>
                <w:sz w:val="20"/>
                <w:szCs w:val="20"/>
                <w:color w:val="auto"/>
              </w:rPr>
            </w:pPr>
            <w:r>
              <w:rPr>
                <w:rFonts w:ascii="Arial" w:cs="Arial" w:eastAsia="Arial" w:hAnsi="Arial"/>
                <w:sz w:val="18"/>
                <w:szCs w:val="18"/>
                <w:color w:val="auto"/>
              </w:rPr>
              <w:t>Weighted-average number of shares outstanding,</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15,673,424</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3,292,514</w:t>
            </w:r>
          </w:p>
        </w:tc>
        <w:tc>
          <w:tcPr>
            <w:tcW w:w="80" w:type="dxa"/>
            <w:vAlign w:val="bottom"/>
            <w:tcBorders>
              <w:bottom w:val="single" w:sz="8" w:color="CFF0FC"/>
            </w:tcBorders>
          </w:tcPr>
          <w:p>
            <w:pPr>
              <w:spacing w:after="0"/>
              <w:rPr>
                <w:sz w:val="20"/>
                <w:szCs w:val="20"/>
                <w:color w:val="auto"/>
              </w:rPr>
            </w:pPr>
          </w:p>
        </w:tc>
      </w:tr>
      <w:tr>
        <w:trPr>
          <w:trHeight w:val="20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per share attributable to common</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stockholders, basic and diluted</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(2.76)</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(6.59)</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of common stock for the periods presented because their effect would have been anti-dilutive:</w:t>
      </w:r>
    </w:p>
    <w:p>
      <w:pPr>
        <w:spacing w:after="0" w:line="35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740"/>
              <w:spacing w:after="0"/>
              <w:rPr>
                <w:sz w:val="20"/>
                <w:szCs w:val="20"/>
                <w:color w:val="auto"/>
              </w:rPr>
            </w:pPr>
            <w:r>
              <w:rPr>
                <w:rFonts w:ascii="Arial" w:cs="Arial" w:eastAsia="Arial" w:hAnsi="Arial"/>
                <w:sz w:val="14"/>
                <w:szCs w:val="14"/>
                <w:b w:val="1"/>
                <w:bCs w:val="1"/>
                <w:color w:val="auto"/>
              </w:rPr>
              <w:t>November 30,</w:t>
            </w:r>
          </w:p>
        </w:tc>
      </w:tr>
      <w:tr>
        <w:trPr>
          <w:trHeight w:val="223"/>
        </w:trPr>
        <w:tc>
          <w:tcPr>
            <w:tcW w:w="542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on an as-</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converted basis</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12,813,887</w:t>
            </w:r>
          </w:p>
        </w:tc>
        <w:tc>
          <w:tcPr>
            <w:tcW w:w="80" w:type="dxa"/>
            <w:vAlign w:val="bottom"/>
            <w:shd w:val="clear" w:color="auto" w:fill="CFF0FC"/>
          </w:tcPr>
          <w:p>
            <w:pPr>
              <w:spacing w:after="0"/>
              <w:rPr>
                <w:sz w:val="20"/>
                <w:szCs w:val="20"/>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4,387,862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1,913,792</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Options early exercised subject to vesting</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141,512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139,393</w:t>
            </w:r>
          </w:p>
        </w:tc>
        <w:tc>
          <w:tcPr>
            <w:tcW w:w="80" w:type="dxa"/>
            <w:vAlign w:val="bottom"/>
            <w:shd w:val="clear" w:color="auto" w:fill="CFF0FC"/>
          </w:tcPr>
          <w:p>
            <w:pPr>
              <w:spacing w:after="0"/>
              <w:rPr>
                <w:sz w:val="19"/>
                <w:szCs w:val="19"/>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Shares expected to be purchased under employee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stock purchase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60,512</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4,589,886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14,867,072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As of November 30, 2020 and 2019, post-acquisition of Celgene, BMS owned 1,622,222 shares of the Company’s common stock and 1,622,222 shares of the Company’s Series C redeemable convertible preferred stock, respectively. For the years ended November 30, 2020 and 2019, the Company recorded collaboration revenue under the Celgene Agreement of $0 and $28.4 million, respectively. As of November 30, 2020 and 2019, deferred revenue related to the Celgene Agreement was $0. In June 2019, the Celgene Agreement was terminated in its entirety with no further payments from Celgene and no remaining deliverables from the Company. See Note 3, “Collaboration agreements—Celgene (a related party)” for a discussion of the Celgene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firstLine="540"/>
        <w:spacing w:after="0" w:line="301" w:lineRule="auto"/>
        <w:rPr>
          <w:sz w:val="20"/>
          <w:szCs w:val="20"/>
          <w:color w:val="auto"/>
        </w:rPr>
      </w:pPr>
      <w:r>
        <w:rPr>
          <w:rFonts w:ascii="Arial" w:cs="Arial" w:eastAsia="Arial" w:hAnsi="Arial"/>
          <w:sz w:val="16"/>
          <w:szCs w:val="16"/>
          <w:color w:val="auto"/>
        </w:rPr>
        <w:t>In December 2020, the Company submitted an investigational new drug application (IND) with the U.S. Food and Drug Administration (FDA) for NX-2127, an orally available BTK degrader for the treatment of relapsed or refractory B-cell malignancies. On January 15, 2021, the Company received a study-may-proceed letter from the FDA to conduct a Phase 1 clinical trial to assess the safety and efficacy of NX-2127. The Phase 1 clinical program is intended to support the clinical development of NX-2127 in multiple indications, including non-Hodgkin lymphoma and chronic lymphocytic leukemia.</w:t>
      </w:r>
    </w:p>
    <w:p>
      <w:pPr>
        <w:spacing w:after="0" w:line="49" w:lineRule="exact"/>
        <w:rPr>
          <w:sz w:val="20"/>
          <w:szCs w:val="20"/>
          <w:color w:val="auto"/>
        </w:rPr>
      </w:pPr>
    </w:p>
    <w:p>
      <w:pPr>
        <w:ind w:right="20" w:firstLine="540"/>
        <w:spacing w:after="0" w:line="263" w:lineRule="auto"/>
        <w:rPr>
          <w:sz w:val="20"/>
          <w:szCs w:val="20"/>
          <w:color w:val="auto"/>
        </w:rPr>
      </w:pPr>
      <w:r>
        <w:rPr>
          <w:rFonts w:ascii="Arial" w:cs="Arial" w:eastAsia="Arial" w:hAnsi="Arial"/>
          <w:sz w:val="18"/>
          <w:szCs w:val="18"/>
          <w:color w:val="auto"/>
        </w:rPr>
        <w:t>In January 2021, the Company entered into the first amendment to a global strategic collaboration with Genzyme Corporation, a subsidiary of Sanofi S.A. (the Sanofi Agreement), to expand the number of drug targets under the Sanofi Agreement. See Note 3, “Collaboration agreements—Sanofi)” for a discussion of the Sanofi Agreement.</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661"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121" w:lineRule="exact"/>
        <w:rPr>
          <w:sz w:val="20"/>
          <w:szCs w:val="20"/>
          <w:color w:val="auto"/>
        </w:rPr>
      </w:pPr>
    </w:p>
    <w:p>
      <w:pPr>
        <w:ind w:right="340" w:firstLine="535"/>
        <w:spacing w:after="0" w:line="277" w:lineRule="auto"/>
        <w:rPr>
          <w:sz w:val="20"/>
          <w:szCs w:val="20"/>
          <w:color w:val="auto"/>
        </w:rPr>
      </w:pPr>
      <w:r>
        <w:rPr>
          <w:rFonts w:ascii="Arial" w:cs="Arial" w:eastAsia="Arial" w:hAnsi="Arial"/>
          <w:sz w:val="18"/>
          <w:szCs w:val="18"/>
          <w:color w:val="auto"/>
        </w:rPr>
        <w:t>The following table provides selected unaudited quarterly financial data for the years ended November 30, 2020 and 2019 (in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1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February 29, 2020</w:t>
            </w:r>
          </w:p>
        </w:tc>
        <w:tc>
          <w:tcPr>
            <w:tcW w:w="18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May 31, 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August 31, 2020</w:t>
            </w:r>
            <w:r>
              <w:rPr>
                <w:rFonts w:ascii="Arial" w:cs="Arial" w:eastAsia="Arial" w:hAnsi="Arial"/>
                <w:sz w:val="12"/>
                <w:szCs w:val="12"/>
                <w:b w:val="1"/>
                <w:bCs w:val="1"/>
                <w:color w:val="auto"/>
                <w:w w:val="93"/>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November 30, 2020</w:t>
            </w:r>
          </w:p>
        </w:tc>
      </w:tr>
      <w:tr>
        <w:trPr>
          <w:trHeight w:val="223"/>
        </w:trPr>
        <w:tc>
          <w:tcPr>
            <w:tcW w:w="4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(12,391)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7,580</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(18,517)</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(19,914)</w:t>
            </w:r>
          </w:p>
        </w:tc>
      </w:tr>
      <w:tr>
        <w:trPr>
          <w:trHeight w:val="209"/>
        </w:trPr>
        <w:tc>
          <w:tcPr>
            <w:tcW w:w="4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number of shares</w:t>
            </w:r>
          </w:p>
        </w:tc>
        <w:tc>
          <w:tcPr>
            <w:tcW w:w="1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outstanding, basic and diluted</w:t>
            </w: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3,539,390</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3,731,838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16,937,934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38,702,486</w:t>
            </w:r>
          </w:p>
        </w:tc>
        <w:tc>
          <w:tcPr>
            <w:tcW w:w="120" w:type="dxa"/>
            <w:vAlign w:val="bottom"/>
            <w:shd w:val="clear" w:color="auto" w:fill="CFF0FC"/>
          </w:tcPr>
          <w:p>
            <w:pPr>
              <w:spacing w:after="0"/>
              <w:rPr>
                <w:sz w:val="20"/>
                <w:szCs w:val="20"/>
                <w:color w:val="auto"/>
              </w:rPr>
            </w:pPr>
          </w:p>
        </w:tc>
      </w:tr>
      <w:tr>
        <w:trPr>
          <w:trHeight w:val="209"/>
        </w:trPr>
        <w:tc>
          <w:tcPr>
            <w:tcW w:w="454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540" w:type="dxa"/>
            <w:vAlign w:val="bottom"/>
            <w:gridSpan w:val="2"/>
          </w:tcPr>
          <w:p>
            <w:pPr>
              <w:ind w:left="140"/>
              <w:spacing w:after="0"/>
              <w:rPr>
                <w:sz w:val="20"/>
                <w:szCs w:val="20"/>
                <w:color w:val="auto"/>
              </w:rPr>
            </w:pPr>
            <w:r>
              <w:rPr>
                <w:rFonts w:ascii="Arial" w:cs="Arial" w:eastAsia="Arial" w:hAnsi="Arial"/>
                <w:sz w:val="18"/>
                <w:szCs w:val="18"/>
                <w:color w:val="auto"/>
              </w:rPr>
              <w:t>stockholders,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r>
      <w:tr>
        <w:trPr>
          <w:trHeight w:val="20"/>
        </w:trPr>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17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1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February 28, 2019</w:t>
            </w:r>
          </w:p>
        </w:tc>
        <w:tc>
          <w:tcPr>
            <w:tcW w:w="180" w:type="dxa"/>
            <w:vAlign w:val="bottom"/>
          </w:tcPr>
          <w:p>
            <w:pPr>
              <w:spacing w:after="0"/>
              <w:rPr>
                <w:sz w:val="19"/>
                <w:szCs w:val="19"/>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May 31, 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August 31, 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November 30, 2019</w:t>
            </w:r>
          </w:p>
        </w:tc>
      </w:tr>
      <w:tr>
        <w:trPr>
          <w:trHeight w:val="223"/>
        </w:trPr>
        <w:tc>
          <w:tcPr>
            <w:tcW w:w="4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9,234</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(2,685)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(2,427)</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(13,519)</w:t>
            </w:r>
          </w:p>
        </w:tc>
      </w:tr>
      <w:tr>
        <w:trPr>
          <w:trHeight w:val="209"/>
        </w:trPr>
        <w:tc>
          <w:tcPr>
            <w:tcW w:w="4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number of shares</w:t>
            </w:r>
          </w:p>
        </w:tc>
        <w:tc>
          <w:tcPr>
            <w:tcW w:w="1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outstanding, basic and diluted</w:t>
            </w: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3,195,047</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3,433,080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3,667,335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3,812,210</w:t>
            </w:r>
          </w:p>
        </w:tc>
        <w:tc>
          <w:tcPr>
            <w:tcW w:w="120" w:type="dxa"/>
            <w:vAlign w:val="bottom"/>
            <w:shd w:val="clear" w:color="auto" w:fill="CFF0FC"/>
          </w:tcPr>
          <w:p>
            <w:pPr>
              <w:spacing w:after="0"/>
              <w:rPr>
                <w:sz w:val="20"/>
                <w:szCs w:val="20"/>
                <w:color w:val="auto"/>
              </w:rPr>
            </w:pPr>
          </w:p>
        </w:tc>
      </w:tr>
      <w:tr>
        <w:trPr>
          <w:trHeight w:val="209"/>
        </w:trPr>
        <w:tc>
          <w:tcPr>
            <w:tcW w:w="454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540" w:type="dxa"/>
            <w:vAlign w:val="bottom"/>
            <w:gridSpan w:val="2"/>
          </w:tcPr>
          <w:p>
            <w:pPr>
              <w:ind w:left="140"/>
              <w:spacing w:after="0"/>
              <w:rPr>
                <w:sz w:val="20"/>
                <w:szCs w:val="20"/>
                <w:color w:val="auto"/>
              </w:rPr>
            </w:pPr>
            <w:r>
              <w:rPr>
                <w:rFonts w:ascii="Arial" w:cs="Arial" w:eastAsia="Arial" w:hAnsi="Arial"/>
                <w:sz w:val="18"/>
                <w:szCs w:val="18"/>
                <w:color w:val="auto"/>
              </w:rPr>
              <w:t>stockholders,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(0.84)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(0.66)</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r>
      <w:tr>
        <w:trPr>
          <w:trHeight w:val="20"/>
        </w:trPr>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40" w:type="dxa"/>
            <w:vAlign w:val="bottom"/>
            <w:tcBorders>
              <w:bottom w:val="single" w:sz="8" w:color="auto"/>
            </w:tcBorders>
          </w:tcPr>
          <w:p>
            <w:pPr>
              <w:spacing w:after="0"/>
              <w:rPr>
                <w:sz w:val="10"/>
                <w:szCs w:val="10"/>
                <w:color w:val="auto"/>
              </w:rPr>
            </w:pPr>
          </w:p>
        </w:tc>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94" w:lineRule="exact"/>
        <w:rPr>
          <w:sz w:val="20"/>
          <w:szCs w:val="20"/>
          <w:color w:val="auto"/>
        </w:rPr>
      </w:pPr>
    </w:p>
    <w:p>
      <w:pPr>
        <w:ind w:left="540" w:hanging="532"/>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Q3 2020 Revision of Net Loss per Share</w:t>
      </w:r>
    </w:p>
    <w:p>
      <w:pPr>
        <w:spacing w:after="0" w:line="117" w:lineRule="exact"/>
        <w:rPr>
          <w:rFonts w:ascii="Arial" w:cs="Arial" w:eastAsia="Arial" w:hAnsi="Arial"/>
          <w:sz w:val="18"/>
          <w:szCs w:val="18"/>
          <w:b w:val="1"/>
          <w:bCs w:val="1"/>
          <w:color w:val="auto"/>
        </w:rPr>
      </w:pPr>
    </w:p>
    <w:p>
      <w:pPr>
        <w:ind w:left="540" w:right="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 xml:space="preserve">During the fourth quarter of 2020, the Company identified an error in the computation and disclosure of the basic and diluted weighted-average number of shares outstanding and the basic and diluted net loss per share for the three and nine months ended August 31, 2020 included in the Quarterly Report on Form 10-Q for the period ended August 31, 2020. The error primarily resulted from the inclusion of the absolute number of shares converted from redeemable convertible preferred stock into common stock rather than the weighted-average number of shares converted from redeemable convertible preferred stock into common stock as a result of the closing of the IPO. The Company evaluated the materiality of the error in accordance with SEC Staff Accounting Bulletin No. 99, </w:t>
      </w:r>
      <w:r>
        <w:rPr>
          <w:rFonts w:ascii="Arial" w:cs="Arial" w:eastAsia="Arial" w:hAnsi="Arial"/>
          <w:sz w:val="16"/>
          <w:szCs w:val="16"/>
          <w:i w:val="1"/>
          <w:iCs w:val="1"/>
          <w:color w:val="auto"/>
        </w:rPr>
        <w:t>Materiality</w:t>
      </w:r>
      <w:r>
        <w:rPr>
          <w:rFonts w:ascii="Arial" w:cs="Arial" w:eastAsia="Arial" w:hAnsi="Arial"/>
          <w:sz w:val="16"/>
          <w:szCs w:val="16"/>
          <w:color w:val="auto"/>
        </w:rPr>
        <w:t xml:space="preserve"> and ASC 250, </w:t>
      </w:r>
      <w:r>
        <w:rPr>
          <w:rFonts w:ascii="Arial" w:cs="Arial" w:eastAsia="Arial" w:hAnsi="Arial"/>
          <w:sz w:val="16"/>
          <w:szCs w:val="16"/>
          <w:i w:val="1"/>
          <w:iCs w:val="1"/>
          <w:color w:val="auto"/>
        </w:rPr>
        <w:t>Accounting for Changes and Error Corrections</w:t>
      </w:r>
      <w:r>
        <w:rPr>
          <w:rFonts w:ascii="Arial" w:cs="Arial" w:eastAsia="Arial" w:hAnsi="Arial"/>
          <w:sz w:val="16"/>
          <w:szCs w:val="16"/>
          <w:color w:val="auto"/>
        </w:rPr>
        <w:t>, and concluded the error was not material to the previously issued condensed consolidated financial statements. However, the Company has revised its previously reported basic and diluted weighted-average number of shares outstanding and basic and diluted net loss per share, which decreased the weighted-average number of shares outstanding from 31,383,936 to 16,937,934 and increased the basic and diluted net loss per share from $0.59 to $1.09 for the three months ended August 31, 2020. It also decreased the weighted-average number of shares outstanding from 27,688,972 to 8,052,905 and increased the basic and diluted net loss per share from $0.84 to $2.90 for the nine months ended August 31, 2020. The error will be corrected in the Company’s future filings that contain such financial information.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November 30, 2020.</w:t>
      </w:r>
    </w:p>
    <w:p>
      <w:pPr>
        <w:spacing w:after="0" w:line="76"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 evaluation of our disclosure controls and procedures, our President and Chief Executive Officer and our Chief Financial Officer concluded that our disclosure controls and procedures were not effective as of November 30, 2020 due to the material weakness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consolidated financial statements for the periods covered by and included in this Annual Report on Form 10-K fairly present, in all material respects, our financial position, results of operations and cash flows for the periods presented in conformity with U.S. GAAP.</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as permitted during the transition period for newly public companies under the rules of the SEC.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117"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As disclosed in the section titled “Risk Factors” in Part I, Item 1A of this Annual Report on Form 10-K, we identified a material weakness in our internal control over financial reporting. Specifically, we did not design and maintain formally documented controls and accounting policies and procedures, including information technology general controls, segregation of duties over the review and approval of account reconciliations and manual journal entries, and the period-end financial reporting process. This material weakness resulted in the revision to the basic and diluted weighted-average number of shares outstanding and basic and diluted net loss per share calculations for the three- and nine-month periods ended August 31, 2020. Additionally, this material weakness could result in a misstatement of substantially all of our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17" w:lineRule="exact"/>
        <w:rPr>
          <w:sz w:val="20"/>
          <w:szCs w:val="20"/>
          <w:color w:val="auto"/>
        </w:rPr>
      </w:pPr>
    </w:p>
    <w:p>
      <w:pPr>
        <w:ind w:right="120" w:firstLine="667"/>
        <w:spacing w:after="0" w:line="342" w:lineRule="auto"/>
        <w:rPr>
          <w:sz w:val="20"/>
          <w:szCs w:val="20"/>
          <w:color w:val="auto"/>
        </w:rPr>
      </w:pPr>
      <w:r>
        <w:rPr>
          <w:rFonts w:ascii="Arial" w:cs="Arial" w:eastAsia="Arial" w:hAnsi="Arial"/>
          <w:sz w:val="16"/>
          <w:szCs w:val="16"/>
          <w:color w:val="auto"/>
        </w:rPr>
        <w:t>To address our material weakness, we are in the process of implementing new financial systems and controls. We intend to continue to take steps to remediate the material weakness through formalizing documentation of policies and procedures and further evolving our accounting processes.</w:t>
      </w:r>
    </w:p>
    <w:p>
      <w:pPr>
        <w:spacing w:after="0" w:line="16" w:lineRule="exact"/>
        <w:rPr>
          <w:sz w:val="20"/>
          <w:szCs w:val="20"/>
          <w:color w:val="auto"/>
        </w:rPr>
      </w:pPr>
    </w:p>
    <w:p>
      <w:pPr>
        <w:ind w:firstLine="667"/>
        <w:spacing w:after="0" w:line="257" w:lineRule="auto"/>
        <w:rPr>
          <w:sz w:val="20"/>
          <w:szCs w:val="20"/>
          <w:color w:val="auto"/>
        </w:rPr>
      </w:pPr>
      <w:r>
        <w:rPr>
          <w:rFonts w:ascii="Arial" w:cs="Arial" w:eastAsia="Arial" w:hAnsi="Arial"/>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 in our internal control over financial reporting until we have completed our remediation efforts and subsequent evaluation of their effectiveness.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As described under the Remediation Plan above, we continued formalizing documentation of policies and procedures and implementing new controls during the quarter ended November 30, 2020. Such remediation actions were changes in our internal control over financial reporting identified in connection with the evaluation required by Rule 13a-15(d) and 15d-15(d) of the Exchange Act that occurred during the three months ended November 30, 2020 that have materially affected, or are reasonably likely to materially affect, our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Over Financial Reporting</w:t>
      </w:r>
    </w:p>
    <w:p>
      <w:pPr>
        <w:spacing w:after="0" w:line="11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7" w:name="page148"/>
    <w:bookmarkEnd w:id="147"/>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The information required by this item will be set forth in our definitive proxy statement for our 2021 Annual Meeting of Stockholders (Proxy Statement) to be filed with the SEC within 120 days after the end of the fiscal year covered by this Annual Report on Form 10-K, and is incorporated herein by reference.</w:t>
      </w:r>
    </w:p>
    <w:p>
      <w:pPr>
        <w:spacing w:after="0" w:line="7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www.nurixtx.com.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333"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financial statements filed as part of this Annual Report on Form 10-K are listed in the “Index to Financial Statements” under Part II, Item 8 of this Annual Report on Form 10-K.</w:t>
      </w:r>
    </w:p>
    <w:p>
      <w:pPr>
        <w:spacing w:after="0" w:line="278"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Financial statement schedules have been omitted in this Annual Report on Form 10-K because they are not applicable, not required under the instructions, or the information requested is set forth in the financial statements or related notes thereto.</w:t>
      </w:r>
    </w:p>
    <w:p>
      <w:pPr>
        <w:spacing w:after="0" w:line="278"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following is a list of exhibits filed with this Annual Report on Form 10-K incorporated herein by reference (numbered in accordance with Item 601 of Regulation S-K):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9" w:name="page150"/>
    <w:bookmarkEnd w:id="149"/>
    <w:p>
      <w:pPr>
        <w:jc w:val="center"/>
        <w:ind w:right="-1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120"/>
          </w:cols>
          <w:pgMar w:left="320" w:top="337" w:right="45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gridSpan w:val="13"/>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0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500" w:type="dxa"/>
            <w:vAlign w:val="bottom"/>
            <w:tcBorders>
              <w:top w:val="single" w:sz="8" w:color="auto"/>
            </w:tcBorders>
            <w:gridSpan w:val="18"/>
          </w:tcPr>
          <w:p>
            <w:pPr>
              <w:spacing w:after="0"/>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Restated Certificate of Incorporation</w:t>
              </w:r>
            </w:hyperlink>
          </w:p>
        </w:tc>
        <w:tc>
          <w:tcPr>
            <w:tcW w:w="0" w:type="dxa"/>
            <w:vAlign w:val="bottom"/>
          </w:tcPr>
          <w:p>
            <w:pPr>
              <w:spacing w:after="0"/>
              <w:rPr>
                <w:sz w:val="1"/>
                <w:szCs w:val="1"/>
                <w:color w:val="auto"/>
              </w:rPr>
            </w:pPr>
          </w:p>
        </w:tc>
      </w:tr>
      <w:tr>
        <w:trPr>
          <w:trHeight w:val="324"/>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500" w:type="dxa"/>
            <w:vAlign w:val="bottom"/>
            <w:gridSpan w:val="18"/>
          </w:tcPr>
          <w:p>
            <w:pPr>
              <w:spacing w:after="0"/>
              <w:rPr>
                <w:rFonts w:ascii="Arial" w:cs="Arial" w:eastAsia="Arial" w:hAnsi="Arial"/>
                <w:sz w:val="18"/>
                <w:szCs w:val="18"/>
                <w:u w:val="single" w:color="auto"/>
                <w:color w:val="0000EE"/>
              </w:rPr>
            </w:pPr>
            <w:hyperlink r:id="rId196">
              <w:r>
                <w:rPr>
                  <w:rFonts w:ascii="Arial" w:cs="Arial" w:eastAsia="Arial" w:hAnsi="Arial"/>
                  <w:sz w:val="18"/>
                  <w:szCs w:val="18"/>
                  <w:u w:val="single" w:color="auto"/>
                  <w:color w:val="0000EE"/>
                </w:rPr>
                <w:t>Restated Bylaws</w:t>
              </w:r>
            </w:hyperlink>
          </w:p>
        </w:tc>
        <w:tc>
          <w:tcPr>
            <w:tcW w:w="0" w:type="dxa"/>
            <w:vAlign w:val="bottom"/>
          </w:tcPr>
          <w:p>
            <w:pPr>
              <w:spacing w:after="0"/>
              <w:rPr>
                <w:sz w:val="1"/>
                <w:szCs w:val="1"/>
                <w:color w:val="auto"/>
              </w:rPr>
            </w:pPr>
          </w:p>
        </w:tc>
      </w:tr>
      <w:tr>
        <w:trPr>
          <w:trHeight w:val="324"/>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500" w:type="dxa"/>
            <w:vAlign w:val="bottom"/>
            <w:gridSpan w:val="18"/>
          </w:tcPr>
          <w:p>
            <w:pPr>
              <w:spacing w:after="0"/>
              <w:rPr>
                <w:rFonts w:ascii="Arial" w:cs="Arial" w:eastAsia="Arial" w:hAnsi="Arial"/>
                <w:sz w:val="18"/>
                <w:szCs w:val="18"/>
                <w:u w:val="single" w:color="auto"/>
                <w:color w:val="0000EE"/>
              </w:rPr>
            </w:pPr>
            <w:hyperlink r:id="rId197">
              <w:r>
                <w:rPr>
                  <w:rFonts w:ascii="Arial" w:cs="Arial" w:eastAsia="Arial" w:hAnsi="Arial"/>
                  <w:sz w:val="18"/>
                  <w:szCs w:val="18"/>
                  <w:u w:val="single" w:color="auto"/>
                  <w:color w:val="0000EE"/>
                </w:rPr>
                <w:t>Form of Common Stock Certificate</w:t>
              </w:r>
            </w:hyperlink>
          </w:p>
        </w:tc>
        <w:tc>
          <w:tcPr>
            <w:tcW w:w="0" w:type="dxa"/>
            <w:vAlign w:val="bottom"/>
          </w:tcPr>
          <w:p>
            <w:pPr>
              <w:spacing w:after="0"/>
              <w:rPr>
                <w:sz w:val="1"/>
                <w:szCs w:val="1"/>
                <w:color w:val="auto"/>
              </w:rPr>
            </w:pPr>
          </w:p>
        </w:tc>
      </w:tr>
      <w:tr>
        <w:trPr>
          <w:trHeight w:val="283"/>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500" w:type="dxa"/>
            <w:vAlign w:val="bottom"/>
            <w:gridSpan w:val="18"/>
          </w:tcPr>
          <w:p>
            <w:pPr>
              <w:spacing w:after="0"/>
              <w:rPr>
                <w:rFonts w:ascii="Arial" w:cs="Arial" w:eastAsia="Arial" w:hAnsi="Arial"/>
                <w:sz w:val="18"/>
                <w:szCs w:val="18"/>
                <w:color w:val="0000EE"/>
                <w:w w:val="96"/>
              </w:rPr>
            </w:pPr>
            <w:hyperlink r:id="rId198">
              <w:r>
                <w:rPr>
                  <w:rFonts w:ascii="Arial" w:cs="Arial" w:eastAsia="Arial" w:hAnsi="Arial"/>
                  <w:sz w:val="18"/>
                  <w:szCs w:val="18"/>
                  <w:color w:val="0000EE"/>
                  <w:w w:val="96"/>
                </w:rPr>
                <w:t>Amended and Restated Investor Rights Agreement, dated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March 9, 2020, by and among the Registrant and certain of its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98">
              <w:r>
                <w:rPr>
                  <w:rFonts w:ascii="Arial" w:cs="Arial" w:eastAsia="Arial" w:hAnsi="Arial"/>
                  <w:sz w:val="18"/>
                  <w:szCs w:val="18"/>
                  <w:color w:val="0000EE"/>
                  <w:w w:val="89"/>
                </w:rPr>
                <w:t>stockholders</w:t>
              </w:r>
            </w:hyperlink>
          </w:p>
        </w:tc>
        <w:tc>
          <w:tcPr>
            <w:tcW w:w="35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4500" w:type="dxa"/>
            <w:vAlign w:val="bottom"/>
            <w:gridSpan w:val="18"/>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Description of Registrant’s Securities</w:t>
              </w:r>
            </w:hyperlink>
          </w:p>
        </w:tc>
        <w:tc>
          <w:tcPr>
            <w:tcW w:w="0" w:type="dxa"/>
            <w:vAlign w:val="bottom"/>
          </w:tcPr>
          <w:p>
            <w:pPr>
              <w:spacing w:after="0"/>
              <w:rPr>
                <w:sz w:val="1"/>
                <w:szCs w:val="1"/>
                <w:color w:val="auto"/>
              </w:rPr>
            </w:pPr>
          </w:p>
        </w:tc>
      </w:tr>
      <w:tr>
        <w:trPr>
          <w:trHeight w:val="324"/>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500" w:type="dxa"/>
            <w:vAlign w:val="bottom"/>
            <w:gridSpan w:val="18"/>
          </w:tcPr>
          <w:p>
            <w:pPr>
              <w:spacing w:after="0"/>
              <w:rPr>
                <w:rFonts w:ascii="Arial" w:cs="Arial" w:eastAsia="Arial" w:hAnsi="Arial"/>
                <w:sz w:val="18"/>
                <w:szCs w:val="18"/>
                <w:u w:val="single" w:color="auto"/>
                <w:color w:val="0000EE"/>
              </w:rPr>
            </w:pPr>
            <w:hyperlink r:id="rId199">
              <w:r>
                <w:rPr>
                  <w:rFonts w:ascii="Arial" w:cs="Arial" w:eastAsia="Arial" w:hAnsi="Arial"/>
                  <w:sz w:val="18"/>
                  <w:szCs w:val="18"/>
                  <w:u w:val="single" w:color="auto"/>
                  <w:color w:val="0000EE"/>
                </w:rPr>
                <w:t>Form of Indemnity Agreement</w:t>
              </w:r>
            </w:hyperlink>
          </w:p>
        </w:tc>
        <w:tc>
          <w:tcPr>
            <w:tcW w:w="0" w:type="dxa"/>
            <w:vAlign w:val="bottom"/>
          </w:tcPr>
          <w:p>
            <w:pPr>
              <w:spacing w:after="0"/>
              <w:rPr>
                <w:sz w:val="1"/>
                <w:szCs w:val="1"/>
                <w:color w:val="auto"/>
              </w:rPr>
            </w:pPr>
          </w:p>
        </w:tc>
      </w:tr>
      <w:tr>
        <w:trPr>
          <w:trHeight w:val="283"/>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4400" w:type="dxa"/>
            <w:vAlign w:val="bottom"/>
            <w:tcBorders>
              <w:bottom w:val="single" w:sz="8" w:color="0000EE"/>
            </w:tcBorders>
            <w:gridSpan w:val="15"/>
          </w:tcPr>
          <w:p>
            <w:pPr>
              <w:spacing w:after="0"/>
              <w:rPr>
                <w:rFonts w:ascii="Arial" w:cs="Arial" w:eastAsia="Arial" w:hAnsi="Arial"/>
                <w:sz w:val="18"/>
                <w:szCs w:val="18"/>
                <w:color w:val="0000EE"/>
                <w:w w:val="90"/>
              </w:rPr>
            </w:pPr>
            <w:hyperlink r:id="rId200">
              <w:r>
                <w:rPr>
                  <w:rFonts w:ascii="Arial" w:cs="Arial" w:eastAsia="Arial" w:hAnsi="Arial"/>
                  <w:sz w:val="18"/>
                  <w:szCs w:val="18"/>
                  <w:color w:val="0000EE"/>
                  <w:w w:val="90"/>
                </w:rPr>
                <w:t>2012 Equity Incentive Plan, as amended, and forms of award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agreements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4500" w:type="dxa"/>
            <w:vAlign w:val="bottom"/>
            <w:gridSpan w:val="18"/>
          </w:tcPr>
          <w:p>
            <w:pPr>
              <w:spacing w:after="0"/>
              <w:rPr>
                <w:rFonts w:ascii="Arial" w:cs="Arial" w:eastAsia="Arial" w:hAnsi="Arial"/>
                <w:sz w:val="18"/>
                <w:szCs w:val="18"/>
                <w:u w:val="single" w:color="auto"/>
                <w:color w:val="0000EE"/>
                <w:w w:val="94"/>
              </w:rPr>
            </w:pPr>
            <w:hyperlink r:id="rId201">
              <w:r>
                <w:rPr>
                  <w:rFonts w:ascii="Arial" w:cs="Arial" w:eastAsia="Arial" w:hAnsi="Arial"/>
                  <w:sz w:val="18"/>
                  <w:szCs w:val="18"/>
                  <w:u w:val="single" w:color="auto"/>
                  <w:color w:val="0000EE"/>
                  <w:w w:val="94"/>
                </w:rPr>
                <w:t>2020 Equity Incentive Plan and forms of award agreements</w:t>
              </w:r>
            </w:hyperlink>
          </w:p>
        </w:tc>
        <w:tc>
          <w:tcPr>
            <w:tcW w:w="0" w:type="dxa"/>
            <w:vAlign w:val="bottom"/>
          </w:tcPr>
          <w:p>
            <w:pPr>
              <w:spacing w:after="0"/>
              <w:rPr>
                <w:sz w:val="1"/>
                <w:szCs w:val="1"/>
                <w:color w:val="auto"/>
              </w:rPr>
            </w:pPr>
          </w:p>
        </w:tc>
      </w:tr>
      <w:tr>
        <w:trPr>
          <w:trHeight w:val="283"/>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4140" w:type="dxa"/>
            <w:vAlign w:val="bottom"/>
            <w:tcBorders>
              <w:bottom w:val="single" w:sz="8" w:color="0000EE"/>
            </w:tcBorders>
            <w:gridSpan w:val="11"/>
          </w:tcPr>
          <w:p>
            <w:pPr>
              <w:spacing w:after="0"/>
              <w:rPr>
                <w:rFonts w:ascii="Arial" w:cs="Arial" w:eastAsia="Arial" w:hAnsi="Arial"/>
                <w:sz w:val="18"/>
                <w:szCs w:val="18"/>
                <w:color w:val="0000EE"/>
                <w:w w:val="89"/>
              </w:rPr>
            </w:pPr>
            <w:hyperlink r:id="rId202">
              <w:r>
                <w:rPr>
                  <w:rFonts w:ascii="Arial" w:cs="Arial" w:eastAsia="Arial" w:hAnsi="Arial"/>
                  <w:sz w:val="18"/>
                  <w:szCs w:val="18"/>
                  <w:color w:val="0000EE"/>
                  <w:w w:val="89"/>
                </w:rPr>
                <w:t>2020 Employee Stock Purchase Plan and forms of award</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agreements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4500" w:type="dxa"/>
            <w:vAlign w:val="bottom"/>
            <w:gridSpan w:val="18"/>
          </w:tcPr>
          <w:p>
            <w:pPr>
              <w:spacing w:after="0"/>
              <w:rPr>
                <w:rFonts w:ascii="Arial" w:cs="Arial" w:eastAsia="Arial" w:hAnsi="Arial"/>
                <w:sz w:val="18"/>
                <w:szCs w:val="18"/>
                <w:color w:val="0000EE"/>
              </w:rPr>
            </w:pPr>
            <w:hyperlink r:id="rId203">
              <w:r>
                <w:rPr>
                  <w:rFonts w:ascii="Arial" w:cs="Arial" w:eastAsia="Arial" w:hAnsi="Arial"/>
                  <w:sz w:val="18"/>
                  <w:szCs w:val="18"/>
                  <w:color w:val="0000EE"/>
                </w:rPr>
                <w:t>Employment Agreement, dated July 15, 2020, by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between the Registrant and Arthur T. Sands</w:t>
              </w:r>
            </w:hyperlink>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4500" w:type="dxa"/>
            <w:vAlign w:val="bottom"/>
            <w:gridSpan w:val="18"/>
          </w:tcPr>
          <w:p>
            <w:pPr>
              <w:spacing w:after="0"/>
              <w:rPr>
                <w:rFonts w:ascii="Arial" w:cs="Arial" w:eastAsia="Arial" w:hAnsi="Arial"/>
                <w:sz w:val="18"/>
                <w:szCs w:val="18"/>
                <w:color w:val="0000EE"/>
              </w:rPr>
            </w:pPr>
            <w:hyperlink r:id="rId204">
              <w:r>
                <w:rPr>
                  <w:rFonts w:ascii="Arial" w:cs="Arial" w:eastAsia="Arial" w:hAnsi="Arial"/>
                  <w:sz w:val="18"/>
                  <w:szCs w:val="18"/>
                  <w:color w:val="0000EE"/>
                </w:rPr>
                <w:t>Employment Agreement, dated July 15, 2020, by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between the Registrant and Gwenn Hansen</w:t>
              </w:r>
            </w:hyperlink>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4500" w:type="dxa"/>
            <w:vAlign w:val="bottom"/>
            <w:gridSpan w:val="18"/>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Employment Agreement, dated July 15, 2020, by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58">
              <w:r>
                <w:rPr>
                  <w:rFonts w:ascii="Arial" w:cs="Arial" w:eastAsia="Arial" w:hAnsi="Arial"/>
                  <w:sz w:val="18"/>
                  <w:szCs w:val="18"/>
                  <w:color w:val="0000EE"/>
                  <w:w w:val="90"/>
                </w:rPr>
                <w:t>between the Registrant and Christine Ring</w:t>
              </w:r>
            </w:hyperlink>
          </w:p>
        </w:tc>
        <w:tc>
          <w:tcPr>
            <w:tcW w:w="740" w:type="dxa"/>
            <w:vAlign w:val="bottom"/>
            <w:tcBorders>
              <w:top w:val="single" w:sz="8" w:color="0000EE"/>
            </w:tcBorders>
            <w:gridSpan w:val="3"/>
          </w:tcPr>
          <w:p>
            <w:pPr>
              <w:spacing w:after="0"/>
              <w:rPr>
                <w:sz w:val="17"/>
                <w:szCs w:val="17"/>
                <w:color w:val="auto"/>
              </w:rPr>
            </w:pPr>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4480" w:type="dxa"/>
            <w:vAlign w:val="bottom"/>
            <w:tcBorders>
              <w:bottom w:val="single" w:sz="8" w:color="0000EE"/>
            </w:tcBorders>
            <w:gridSpan w:val="17"/>
          </w:tcPr>
          <w:p>
            <w:pPr>
              <w:spacing w:after="0"/>
              <w:rPr>
                <w:rFonts w:ascii="Arial" w:cs="Arial" w:eastAsia="Arial" w:hAnsi="Arial"/>
                <w:sz w:val="18"/>
                <w:szCs w:val="18"/>
                <w:color w:val="0000EE"/>
                <w:w w:val="89"/>
              </w:rPr>
            </w:pPr>
            <w:hyperlink r:id="rId205">
              <w:r>
                <w:rPr>
                  <w:rFonts w:ascii="Arial" w:cs="Arial" w:eastAsia="Arial" w:hAnsi="Arial"/>
                  <w:sz w:val="18"/>
                  <w:szCs w:val="18"/>
                  <w:color w:val="0000EE"/>
                  <w:w w:val="89"/>
                </w:rPr>
                <w:t>Lease Agreement, dated as of March 24, 2014, between ARE-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San Francisco No. 26, LLC and the Registrant</w:t>
              </w:r>
            </w:hyperlink>
          </w:p>
        </w:tc>
        <w:tc>
          <w:tcPr>
            <w:tcW w:w="11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gridSpan w:val="2"/>
          </w:tcPr>
          <w:p>
            <w:pPr>
              <w:ind w:left="100"/>
              <w:spacing w:after="0"/>
              <w:rPr>
                <w:sz w:val="20"/>
                <w:szCs w:val="20"/>
                <w:color w:val="auto"/>
              </w:rPr>
            </w:pPr>
            <w:r>
              <w:rPr>
                <w:rFonts w:ascii="Arial" w:cs="Arial" w:eastAsia="Arial" w:hAnsi="Arial"/>
                <w:sz w:val="18"/>
                <w:szCs w:val="18"/>
                <w:color w:val="auto"/>
              </w:rPr>
              <w:t>10.9†</w:t>
            </w:r>
          </w:p>
        </w:tc>
        <w:tc>
          <w:tcPr>
            <w:tcW w:w="4460" w:type="dxa"/>
            <w:vAlign w:val="bottom"/>
            <w:tcBorders>
              <w:bottom w:val="single" w:sz="8" w:color="0000EE"/>
            </w:tcBorders>
            <w:gridSpan w:val="16"/>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Collaboration, Option and License Agreement, dated June 10,</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206">
              <w:r>
                <w:rPr>
                  <w:rFonts w:ascii="Arial" w:cs="Arial" w:eastAsia="Arial" w:hAnsi="Arial"/>
                  <w:sz w:val="18"/>
                  <w:szCs w:val="18"/>
                  <w:color w:val="0000EE"/>
                  <w:w w:val="88"/>
                </w:rPr>
                <w:t>2019, by and between the Registrant and Gilead Sciences,</w:t>
              </w:r>
            </w:hyperlink>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r:id="rId206">
              <w:r>
                <w:rPr>
                  <w:rFonts w:ascii="Arial" w:cs="Arial" w:eastAsia="Arial" w:hAnsi="Arial"/>
                  <w:sz w:val="18"/>
                  <w:szCs w:val="18"/>
                  <w:color w:val="0000EE"/>
                  <w:w w:val="86"/>
                </w:rPr>
                <w:t>Inc., as amended</w:t>
              </w:r>
            </w:hyperlink>
          </w:p>
        </w:tc>
        <w:tc>
          <w:tcPr>
            <w:tcW w:w="32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gridSpan w:val="2"/>
          </w:tcPr>
          <w:p>
            <w:pPr>
              <w:ind w:left="100"/>
              <w:spacing w:after="0"/>
              <w:rPr>
                <w:sz w:val="20"/>
                <w:szCs w:val="20"/>
                <w:color w:val="auto"/>
              </w:rPr>
            </w:pPr>
            <w:r>
              <w:rPr>
                <w:rFonts w:ascii="Arial" w:cs="Arial" w:eastAsia="Arial" w:hAnsi="Arial"/>
                <w:sz w:val="18"/>
                <w:szCs w:val="18"/>
                <w:color w:val="auto"/>
              </w:rPr>
              <w:t>10.10†</w:t>
            </w:r>
          </w:p>
        </w:tc>
        <w:tc>
          <w:tcPr>
            <w:tcW w:w="4280" w:type="dxa"/>
            <w:vAlign w:val="bottom"/>
            <w:tcBorders>
              <w:bottom w:val="single" w:sz="8" w:color="0000EE"/>
            </w:tcBorders>
            <w:gridSpan w:val="14"/>
          </w:tcPr>
          <w:p>
            <w:pPr>
              <w:spacing w:after="0"/>
              <w:rPr>
                <w:rFonts w:ascii="Arial" w:cs="Arial" w:eastAsia="Arial" w:hAnsi="Arial"/>
                <w:sz w:val="18"/>
                <w:szCs w:val="18"/>
                <w:color w:val="0000EE"/>
                <w:w w:val="89"/>
              </w:rPr>
            </w:pPr>
            <w:hyperlink r:id="rId207">
              <w:r>
                <w:rPr>
                  <w:rFonts w:ascii="Arial" w:cs="Arial" w:eastAsia="Arial" w:hAnsi="Arial"/>
                  <w:sz w:val="18"/>
                  <w:szCs w:val="18"/>
                  <w:color w:val="0000EE"/>
                  <w:w w:val="89"/>
                </w:rPr>
                <w:t>Collaboration and License Agreement, dated December 19,</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2019, by and between the Registrant and Genzyme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Corporation</w:t>
              </w:r>
            </w:hyperlink>
          </w:p>
        </w:tc>
        <w:tc>
          <w:tcPr>
            <w:tcW w:w="2780" w:type="dxa"/>
            <w:vAlign w:val="bottom"/>
            <w:tcBorders>
              <w:top w:val="single" w:sz="8" w:color="0000EE"/>
            </w:tcBorders>
            <w:gridSpan w:val="7"/>
          </w:tcPr>
          <w:p>
            <w:pPr>
              <w:spacing w:after="0"/>
              <w:rPr>
                <w:sz w:val="17"/>
                <w:szCs w:val="17"/>
                <w:color w:val="auto"/>
              </w:rPr>
            </w:pPr>
          </w:p>
        </w:tc>
        <w:tc>
          <w:tcPr>
            <w:tcW w:w="8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4500" w:type="dxa"/>
            <w:vAlign w:val="bottom"/>
            <w:gridSpan w:val="18"/>
          </w:tcPr>
          <w:p>
            <w:pPr>
              <w:spacing w:after="0"/>
              <w:rPr>
                <w:rFonts w:ascii="Arial" w:cs="Arial" w:eastAsia="Arial" w:hAnsi="Arial"/>
                <w:sz w:val="18"/>
                <w:szCs w:val="18"/>
                <w:color w:val="0000EE"/>
                <w:w w:val="95"/>
              </w:rPr>
            </w:pPr>
            <w:hyperlink w:anchor="page161">
              <w:r>
                <w:rPr>
                  <w:rFonts w:ascii="Arial" w:cs="Arial" w:eastAsia="Arial" w:hAnsi="Arial"/>
                  <w:sz w:val="18"/>
                  <w:szCs w:val="18"/>
                  <w:color w:val="0000EE"/>
                  <w:w w:val="95"/>
                </w:rPr>
                <w:t>First Amendment to Collaboration and License Agreement,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dated January 6, 2021, by and between the Registrant and</w:t>
              </w:r>
            </w:hyperlink>
          </w:p>
        </w:tc>
        <w:tc>
          <w:tcPr>
            <w:tcW w:w="120" w:type="dxa"/>
            <w:vAlign w:val="bottom"/>
            <w:tcBorders>
              <w:top w:val="single" w:sz="8" w:color="0000EE"/>
            </w:tcBorders>
            <w:gridSpan w:val="2"/>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Genzyme Corporation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ind w:left="10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4500" w:type="dxa"/>
            <w:vAlign w:val="bottom"/>
            <w:gridSpan w:val="18"/>
          </w:tcPr>
          <w:p>
            <w:pPr>
              <w:spacing w:after="0"/>
              <w:rPr>
                <w:rFonts w:ascii="Arial" w:cs="Arial" w:eastAsia="Arial" w:hAnsi="Arial"/>
                <w:sz w:val="18"/>
                <w:szCs w:val="18"/>
                <w:color w:val="0000EE"/>
                <w:w w:val="93"/>
              </w:rPr>
            </w:pPr>
            <w:hyperlink r:id="rId208">
              <w:r>
                <w:rPr>
                  <w:rFonts w:ascii="Arial" w:cs="Arial" w:eastAsia="Arial" w:hAnsi="Arial"/>
                  <w:sz w:val="18"/>
                  <w:szCs w:val="18"/>
                  <w:color w:val="0000EE"/>
                  <w:w w:val="93"/>
                </w:rPr>
                <w:t>Letter Agreement, dated June 15, 2020, by and between the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208">
              <w:r>
                <w:rPr>
                  <w:rFonts w:ascii="Arial" w:cs="Arial" w:eastAsia="Arial" w:hAnsi="Arial"/>
                  <w:sz w:val="18"/>
                  <w:szCs w:val="18"/>
                  <w:color w:val="0000EE"/>
                  <w:w w:val="89"/>
                </w:rPr>
                <w:t>Registrant and Arthur T. Sands</w:t>
              </w:r>
            </w:hyperlink>
          </w:p>
        </w:tc>
        <w:tc>
          <w:tcPr>
            <w:tcW w:w="2040" w:type="dxa"/>
            <w:vAlign w:val="bottom"/>
            <w:tcBorders>
              <w:top w:val="single" w:sz="8" w:color="0000EE"/>
            </w:tcBorders>
            <w:gridSpan w:val="8"/>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tcPr>
          <w:p>
            <w:pPr>
              <w:ind w:left="560"/>
              <w:spacing w:after="0"/>
              <w:rPr>
                <w:sz w:val="20"/>
                <w:szCs w:val="20"/>
                <w:color w:val="auto"/>
              </w:rPr>
            </w:pPr>
            <w:r>
              <w:rPr>
                <w:rFonts w:ascii="Arial" w:cs="Arial" w:eastAsia="Arial" w:hAnsi="Arial"/>
                <w:sz w:val="14"/>
                <w:szCs w:val="14"/>
                <w:b w:val="1"/>
                <w:bCs w:val="1"/>
                <w:color w:val="auto"/>
                <w:w w:val="96"/>
              </w:rPr>
              <w:t>Incorporated by Reference</w:t>
            </w:r>
          </w:p>
        </w:tc>
        <w:tc>
          <w:tcPr>
            <w:tcW w:w="1300" w:type="dxa"/>
            <w:vAlign w:val="bottom"/>
          </w:tcPr>
          <w:p>
            <w:pPr>
              <w:spacing w:after="0"/>
              <w:rPr>
                <w:sz w:val="16"/>
                <w:szCs w:val="16"/>
                <w:color w:val="auto"/>
              </w:rPr>
            </w:pPr>
          </w:p>
        </w:tc>
      </w:tr>
      <w:tr>
        <w:trPr>
          <w:trHeight w:val="293"/>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Pr>
          <w:p>
            <w:pPr>
              <w:spacing w:after="0"/>
              <w:rPr>
                <w:sz w:val="24"/>
                <w:szCs w:val="24"/>
                <w:color w:val="auto"/>
              </w:rPr>
            </w:pP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304"/>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001-39398</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October 14, 2020</w:t>
            </w:r>
          </w:p>
        </w:tc>
      </w:tr>
      <w:tr>
        <w:trPr>
          <w:trHeight w:val="324"/>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001-39398</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October 14, 2020</w:t>
            </w:r>
          </w:p>
        </w:tc>
      </w:tr>
      <w:tr>
        <w:trPr>
          <w:trHeight w:val="324"/>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July 2, 2020</w:t>
            </w:r>
          </w:p>
        </w:tc>
      </w:tr>
      <w:tr>
        <w:trPr>
          <w:trHeight w:val="324"/>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July 2,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333-239651</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90"/>
              </w:rPr>
              <w:t>July 2, 2020</w:t>
            </w:r>
          </w:p>
        </w:tc>
      </w:tr>
      <w:tr>
        <w:trPr>
          <w:trHeight w:val="3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333-239651</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90"/>
              </w:rPr>
              <w:t>July 2, 2020</w:t>
            </w:r>
          </w:p>
        </w:tc>
      </w:tr>
      <w:tr>
        <w:trPr>
          <w:trHeight w:val="54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333-239651</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91"/>
              </w:rPr>
              <w:t>July 20, 2020</w:t>
            </w:r>
          </w:p>
        </w:tc>
      </w:tr>
      <w:tr>
        <w:trPr>
          <w:trHeight w:val="3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333-239651</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91"/>
              </w:rPr>
              <w:t>July 20, 2020</w:t>
            </w:r>
          </w:p>
        </w:tc>
      </w:tr>
      <w:tr>
        <w:trPr>
          <w:trHeight w:val="54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333-239651</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91"/>
              </w:rPr>
              <w:t>July 20, 2020</w:t>
            </w:r>
          </w:p>
        </w:tc>
      </w:tr>
      <w:tr>
        <w:trPr>
          <w:trHeight w:val="54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333-239651</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91"/>
              </w:rPr>
              <w:t>July 20,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333-239651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140" w:type="dxa"/>
            <w:vAlign w:val="bottom"/>
          </w:tcPr>
          <w:p>
            <w:pPr>
              <w:ind w:left="260"/>
              <w:spacing w:after="0"/>
              <w:rPr>
                <w:sz w:val="20"/>
                <w:szCs w:val="20"/>
                <w:color w:val="auto"/>
              </w:rPr>
            </w:pPr>
            <w:r>
              <w:rPr>
                <w:rFonts w:ascii="Arial" w:cs="Arial" w:eastAsia="Arial" w:hAnsi="Arial"/>
                <w:sz w:val="18"/>
                <w:szCs w:val="18"/>
                <w:color w:val="auto"/>
                <w:w w:val="88"/>
              </w:rPr>
              <w:t>July 2, 2020</w:t>
            </w: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333-239651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40" w:type="dxa"/>
            <w:vAlign w:val="bottom"/>
          </w:tcPr>
          <w:p>
            <w:pPr>
              <w:ind w:left="260"/>
              <w:spacing w:after="0"/>
              <w:rPr>
                <w:sz w:val="20"/>
                <w:szCs w:val="20"/>
                <w:color w:val="auto"/>
              </w:rPr>
            </w:pPr>
            <w:r>
              <w:rPr>
                <w:rFonts w:ascii="Arial" w:cs="Arial" w:eastAsia="Arial" w:hAnsi="Arial"/>
                <w:sz w:val="18"/>
                <w:szCs w:val="18"/>
                <w:color w:val="auto"/>
                <w:w w:val="88"/>
              </w:rPr>
              <w:t>July 2, 2020</w:t>
            </w:r>
          </w:p>
        </w:tc>
      </w:tr>
      <w:tr>
        <w:trPr>
          <w:trHeight w:val="756"/>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333-239651</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140" w:type="dxa"/>
            <w:vAlign w:val="bottom"/>
          </w:tcPr>
          <w:p>
            <w:pPr>
              <w:ind w:left="260"/>
              <w:spacing w:after="0"/>
              <w:rPr>
                <w:sz w:val="20"/>
                <w:szCs w:val="20"/>
                <w:color w:val="auto"/>
              </w:rPr>
            </w:pPr>
            <w:r>
              <w:rPr>
                <w:rFonts w:ascii="Arial" w:cs="Arial" w:eastAsia="Arial" w:hAnsi="Arial"/>
                <w:sz w:val="18"/>
                <w:szCs w:val="18"/>
                <w:color w:val="auto"/>
                <w:w w:val="88"/>
              </w:rPr>
              <w:t>July 2,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tabs>
          <w:tab w:leader="none" w:pos="1040" w:val="left"/>
          <w:tab w:leader="none" w:pos="2420" w:val="left"/>
          <w:tab w:leader="none" w:pos="33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333-239651</w:t>
      </w:r>
      <w:r>
        <w:rPr>
          <w:sz w:val="20"/>
          <w:szCs w:val="20"/>
          <w:color w:val="auto"/>
        </w:rPr>
        <w:tab/>
      </w: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July 2, 2020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 or</w:t>
      </w:r>
    </w:p>
    <w:p>
      <w:pPr>
        <w:spacing w:after="0" w:line="4" w:lineRule="exact"/>
        <w:rPr>
          <w:sz w:val="20"/>
          <w:szCs w:val="20"/>
          <w:color w:val="auto"/>
        </w:rPr>
      </w:pPr>
    </w:p>
    <w:p>
      <w:pPr>
        <w:ind w:left="40" w:hanging="29"/>
        <w:spacing w:after="0" w:line="271" w:lineRule="auto"/>
        <w:rPr>
          <w:sz w:val="20"/>
          <w:szCs w:val="20"/>
          <w:color w:val="auto"/>
        </w:rPr>
      </w:pPr>
      <w:r>
        <w:rPr>
          <w:rFonts w:ascii="Arial" w:cs="Arial" w:eastAsia="Arial" w:hAnsi="Arial"/>
          <w:sz w:val="13"/>
          <w:szCs w:val="13"/>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-20955</wp:posOffset>
            </wp:positionV>
            <wp:extent cx="5575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1181" w:lineRule="exact"/>
        <w:rPr>
          <w:sz w:val="20"/>
          <w:szCs w:val="20"/>
          <w:color w:val="auto"/>
        </w:rPr>
      </w:pPr>
    </w:p>
    <w:p>
      <w:pPr>
        <w:sectPr>
          <w:pgSz w:w="11900" w:h="16838" w:orient="portrait"/>
          <w:cols w:equalWidth="0" w:num="3">
            <w:col w:w="5640" w:space="140"/>
            <w:col w:w="4440" w:space="260"/>
            <w:col w:w="640"/>
          </w:cols>
          <w:pgMar w:left="320" w:top="337" w:right="459" w:bottom="1440" w:gutter="0" w:footer="0" w:header="0"/>
          <w:type w:val="continuous"/>
        </w:sectPr>
      </w:pP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type w:val="continuous"/>
        </w:sectPr>
      </w:pPr>
    </w:p>
    <w:bookmarkStart w:id="150" w:name="page151"/>
    <w:bookmarkEnd w:id="150"/>
    <w:tbl>
      <w:tblPr>
        <w:tblLayout w:type="fixed"/>
        <w:tblInd w:w="10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4560" w:type="dxa"/>
            <w:vAlign w:val="bottom"/>
            <w:gridSpan w:val="5"/>
          </w:tcPr>
          <w:p>
            <w:pPr>
              <w:spacing w:after="0"/>
              <w:rPr>
                <w:rFonts w:ascii="Arial" w:cs="Arial" w:eastAsia="Arial" w:hAnsi="Arial"/>
                <w:sz w:val="18"/>
                <w:szCs w:val="18"/>
                <w:color w:val="0000EE"/>
              </w:rPr>
            </w:pPr>
            <w:hyperlink r:id="rId211">
              <w:r>
                <w:rPr>
                  <w:rFonts w:ascii="Arial" w:cs="Arial" w:eastAsia="Arial" w:hAnsi="Arial"/>
                  <w:sz w:val="18"/>
                  <w:szCs w:val="18"/>
                  <w:color w:val="0000EE"/>
                </w:rPr>
                <w:t>Severance and Change in Control Plan and form of</w:t>
              </w:r>
            </w:hyperlink>
          </w:p>
        </w:tc>
        <w:tc>
          <w:tcPr>
            <w:tcW w:w="920" w:type="dxa"/>
            <w:vAlign w:val="bottom"/>
          </w:tcPr>
          <w:p>
            <w:pPr>
              <w:ind w:left="240"/>
              <w:spacing w:after="0"/>
              <w:rPr>
                <w:sz w:val="20"/>
                <w:szCs w:val="20"/>
                <w:color w:val="auto"/>
              </w:rPr>
            </w:pPr>
            <w:r>
              <w:rPr>
                <w:rFonts w:ascii="Arial" w:cs="Arial" w:eastAsia="Arial" w:hAnsi="Arial"/>
                <w:sz w:val="18"/>
                <w:szCs w:val="18"/>
                <w:color w:val="auto"/>
              </w:rPr>
              <w:t>S-1/A</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333-239651</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10.12</w:t>
            </w:r>
          </w:p>
        </w:tc>
        <w:tc>
          <w:tcPr>
            <w:tcW w:w="1200" w:type="dxa"/>
            <w:vAlign w:val="bottom"/>
          </w:tcPr>
          <w:p>
            <w:pPr>
              <w:ind w:left="220"/>
              <w:spacing w:after="0"/>
              <w:rPr>
                <w:sz w:val="20"/>
                <w:szCs w:val="20"/>
                <w:color w:val="auto"/>
              </w:rPr>
            </w:pPr>
            <w:r>
              <w:rPr>
                <w:rFonts w:ascii="Arial" w:cs="Arial" w:eastAsia="Arial" w:hAnsi="Arial"/>
                <w:sz w:val="18"/>
                <w:szCs w:val="18"/>
                <w:color w:val="auto"/>
                <w:w w:val="89"/>
              </w:rPr>
              <w:t>July 20, 2020</w:t>
            </w:r>
          </w:p>
        </w:tc>
      </w:tr>
      <w:tr>
        <w:trPr>
          <w:trHeight w:val="196"/>
        </w:trPr>
        <w:tc>
          <w:tcPr>
            <w:tcW w:w="1060" w:type="dxa"/>
            <w:vAlign w:val="bottom"/>
          </w:tcPr>
          <w:p>
            <w:pPr>
              <w:spacing w:after="0"/>
              <w:rPr>
                <w:sz w:val="17"/>
                <w:szCs w:val="17"/>
                <w:color w:val="auto"/>
              </w:rPr>
            </w:pPr>
          </w:p>
        </w:tc>
        <w:tc>
          <w:tcPr>
            <w:tcW w:w="36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Participation Agreement thereunder</w:t>
              </w:r>
            </w:hyperlink>
          </w:p>
        </w:tc>
        <w:tc>
          <w:tcPr>
            <w:tcW w:w="8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21.1</w:t>
            </w:r>
          </w:p>
        </w:tc>
        <w:tc>
          <w:tcPr>
            <w:tcW w:w="258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Subsidiaries of the Registrant</w:t>
              </w:r>
            </w:hyperlink>
          </w:p>
        </w:tc>
        <w:tc>
          <w:tcPr>
            <w:tcW w:w="198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23.1</w:t>
            </w:r>
          </w:p>
        </w:tc>
        <w:tc>
          <w:tcPr>
            <w:tcW w:w="4560" w:type="dxa"/>
            <w:vAlign w:val="bottom"/>
            <w:gridSpan w:val="5"/>
          </w:tcPr>
          <w:p>
            <w:pPr>
              <w:spacing w:after="0"/>
              <w:rPr>
                <w:rFonts w:ascii="Arial" w:cs="Arial" w:eastAsia="Arial" w:hAnsi="Arial"/>
                <w:sz w:val="18"/>
                <w:szCs w:val="18"/>
                <w:u w:val="single" w:color="auto"/>
                <w:color w:val="0000EE"/>
                <w:w w:val="95"/>
              </w:rPr>
            </w:pPr>
            <w:hyperlink w:anchor="page166">
              <w:r>
                <w:rPr>
                  <w:rFonts w:ascii="Arial" w:cs="Arial" w:eastAsia="Arial" w:hAnsi="Arial"/>
                  <w:sz w:val="18"/>
                  <w:szCs w:val="18"/>
                  <w:u w:val="single" w:color="auto"/>
                  <w:color w:val="0000EE"/>
                  <w:w w:val="95"/>
                </w:rPr>
                <w:t>Consent of Independent Registered Public Accounting Firm</w:t>
              </w:r>
            </w:hyperlink>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24.1</w:t>
            </w:r>
          </w:p>
        </w:tc>
        <w:tc>
          <w:tcPr>
            <w:tcW w:w="4560" w:type="dxa"/>
            <w:vAlign w:val="bottom"/>
            <w:gridSpan w:val="5"/>
          </w:tcPr>
          <w:p>
            <w:pPr>
              <w:spacing w:after="0"/>
              <w:rPr>
                <w:rFonts w:ascii="Arial" w:cs="Arial" w:eastAsia="Arial" w:hAnsi="Arial"/>
                <w:sz w:val="18"/>
                <w:szCs w:val="18"/>
                <w:color w:val="0000EE"/>
                <w:w w:val="96"/>
              </w:rPr>
            </w:pPr>
            <w:hyperlink w:anchor="page152">
              <w:r>
                <w:rPr>
                  <w:rFonts w:ascii="Arial" w:cs="Arial" w:eastAsia="Arial" w:hAnsi="Arial"/>
                  <w:sz w:val="18"/>
                  <w:szCs w:val="18"/>
                  <w:color w:val="0000EE"/>
                  <w:w w:val="96"/>
                </w:rPr>
                <w:t>Power of Attorney (reference is made to the signature page</w:t>
              </w:r>
            </w:hyperlink>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52">
              <w:r>
                <w:rPr>
                  <w:rFonts w:ascii="Arial" w:cs="Arial" w:eastAsia="Arial" w:hAnsi="Arial"/>
                  <w:sz w:val="18"/>
                  <w:szCs w:val="18"/>
                  <w:color w:val="0000EE"/>
                  <w:w w:val="87"/>
                </w:rPr>
                <w:t>hereto)</w:t>
              </w:r>
            </w:hyperlink>
          </w:p>
        </w:tc>
        <w:tc>
          <w:tcPr>
            <w:tcW w:w="3740" w:type="dxa"/>
            <w:vAlign w:val="bottom"/>
            <w:tcBorders>
              <w:top w:val="single" w:sz="8" w:color="0000EE"/>
            </w:tcBorders>
            <w:gridSpan w:val="3"/>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29" w:lineRule="exact"/>
        <w:rPr>
          <w:sz w:val="20"/>
          <w:szCs w:val="20"/>
          <w:color w:val="auto"/>
        </w:rPr>
      </w:pPr>
    </w:p>
    <w:p>
      <w:pPr>
        <w:sectPr>
          <w:pgSz w:w="11900" w:h="16838" w:orient="portrait"/>
          <w:cols w:equalWidth="0" w:num="2">
            <w:col w:w="10100" w:space="640"/>
            <w:col w:w="140"/>
          </w:cols>
          <w:pgMar w:left="320" w:top="337" w:right="699" w:bottom="1440" w:gutter="0" w:footer="0" w:header="0"/>
        </w:sectPr>
      </w:pPr>
    </w:p>
    <w:tbl>
      <w:tblPr>
        <w:tblLayout w:type="fixed"/>
        <w:tblInd w:w="10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4500" w:type="dxa"/>
            <w:vAlign w:val="bottom"/>
            <w:gridSpan w:val="11"/>
          </w:tcPr>
          <w:p>
            <w:pPr>
              <w:spacing w:after="0"/>
              <w:rPr>
                <w:rFonts w:ascii="Arial" w:cs="Arial" w:eastAsia="Arial" w:hAnsi="Arial"/>
                <w:sz w:val="18"/>
                <w:szCs w:val="18"/>
                <w:color w:val="0000EE"/>
                <w:w w:val="93"/>
              </w:rPr>
            </w:pPr>
            <w:hyperlink w:anchor="page167">
              <w:r>
                <w:rPr>
                  <w:rFonts w:ascii="Arial" w:cs="Arial" w:eastAsia="Arial" w:hAnsi="Arial"/>
                  <w:sz w:val="18"/>
                  <w:szCs w:val="18"/>
                  <w:color w:val="0000EE"/>
                  <w:w w:val="93"/>
                </w:rPr>
                <w:t>Certification of Principal Executive Officer Pursuant to Rules</w:t>
              </w:r>
            </w:hyperlink>
          </w:p>
        </w:tc>
        <w:tc>
          <w:tcPr>
            <w:tcW w:w="5220" w:type="dxa"/>
            <w:vAlign w:val="bottom"/>
          </w:tcPr>
          <w:p>
            <w:pPr>
              <w:ind w:left="5080"/>
              <w:spacing w:after="0"/>
              <w:rPr>
                <w:sz w:val="20"/>
                <w:szCs w:val="20"/>
                <w:color w:val="auto"/>
              </w:rPr>
            </w:pPr>
            <w:r>
              <w:rPr>
                <w:rFonts w:ascii="Arial" w:cs="Arial" w:eastAsia="Arial" w:hAnsi="Arial"/>
                <w:sz w:val="18"/>
                <w:szCs w:val="18"/>
                <w:color w:val="auto"/>
                <w:w w:val="99"/>
              </w:rPr>
              <w:t>X</w:t>
            </w:r>
          </w:p>
        </w:tc>
      </w:tr>
      <w:tr>
        <w:trPr>
          <w:trHeight w:val="20"/>
        </w:trPr>
        <w:tc>
          <w:tcPr>
            <w:tcW w:w="10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5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67">
              <w:r>
                <w:rPr>
                  <w:rFonts w:ascii="Arial" w:cs="Arial" w:eastAsia="Arial" w:hAnsi="Arial"/>
                  <w:sz w:val="18"/>
                  <w:szCs w:val="18"/>
                  <w:color w:val="0000EE"/>
                  <w:w w:val="90"/>
                </w:rPr>
                <w:t>13a-14(a) and 15d-14(a) under the Securities Exchange Act of</w:t>
              </w:r>
            </w:hyperlink>
          </w:p>
        </w:tc>
        <w:tc>
          <w:tcPr>
            <w:tcW w:w="52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0000EE"/>
                <w:w w:val="94"/>
              </w:rPr>
            </w:pPr>
            <w:hyperlink w:anchor="page167">
              <w:r>
                <w:rPr>
                  <w:rFonts w:ascii="Arial" w:cs="Arial" w:eastAsia="Arial" w:hAnsi="Arial"/>
                  <w:sz w:val="18"/>
                  <w:szCs w:val="18"/>
                  <w:color w:val="0000EE"/>
                  <w:w w:val="94"/>
                </w:rPr>
                <w:t>1934, as Adopted Pursuant to Section 302 of the Sarbanes-</w:t>
              </w:r>
            </w:hyperlink>
          </w:p>
        </w:tc>
        <w:tc>
          <w:tcPr>
            <w:tcW w:w="52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67">
              <w:r>
                <w:rPr>
                  <w:rFonts w:ascii="Arial" w:cs="Arial" w:eastAsia="Arial" w:hAnsi="Arial"/>
                  <w:sz w:val="18"/>
                  <w:szCs w:val="18"/>
                  <w:color w:val="0000EE"/>
                  <w:w w:val="94"/>
                </w:rPr>
                <w:t>Oxley Act of 2002</w:t>
              </w:r>
            </w:hyperlink>
          </w:p>
        </w:tc>
        <w:tc>
          <w:tcPr>
            <w:tcW w:w="2880" w:type="dxa"/>
            <w:vAlign w:val="bottom"/>
            <w:tcBorders>
              <w:top w:val="single" w:sz="8" w:color="0000EE"/>
            </w:tcBorders>
            <w:gridSpan w:val="7"/>
          </w:tcPr>
          <w:p>
            <w:pPr>
              <w:spacing w:after="0"/>
              <w:rPr>
                <w:sz w:val="17"/>
                <w:szCs w:val="17"/>
                <w:color w:val="auto"/>
              </w:rPr>
            </w:pPr>
          </w:p>
        </w:tc>
        <w:tc>
          <w:tcPr>
            <w:tcW w:w="26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42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68">
              <w:r>
                <w:rPr>
                  <w:rFonts w:ascii="Arial" w:cs="Arial" w:eastAsia="Arial" w:hAnsi="Arial"/>
                  <w:sz w:val="18"/>
                  <w:szCs w:val="18"/>
                  <w:color w:val="0000EE"/>
                  <w:w w:val="93"/>
                </w:rPr>
                <w:t>Certification of Principal Financial and Accounting Officer</w:t>
              </w:r>
            </w:hyperlink>
          </w:p>
        </w:tc>
        <w:tc>
          <w:tcPr>
            <w:tcW w:w="220" w:type="dxa"/>
            <w:vAlign w:val="bottom"/>
            <w:gridSpan w:val="2"/>
          </w:tcPr>
          <w:p>
            <w:pPr>
              <w:spacing w:after="0"/>
              <w:rPr>
                <w:sz w:val="24"/>
                <w:szCs w:val="24"/>
                <w:color w:val="auto"/>
              </w:rPr>
            </w:pPr>
          </w:p>
        </w:tc>
        <w:tc>
          <w:tcPr>
            <w:tcW w:w="5220" w:type="dxa"/>
            <w:vAlign w:val="bottom"/>
          </w:tcPr>
          <w:p>
            <w:pPr>
              <w:ind w:left="5080"/>
              <w:spacing w:after="0"/>
              <w:rPr>
                <w:sz w:val="20"/>
                <w:szCs w:val="20"/>
                <w:color w:val="auto"/>
              </w:rPr>
            </w:pPr>
            <w:r>
              <w:rPr>
                <w:rFonts w:ascii="Arial" w:cs="Arial" w:eastAsia="Arial" w:hAnsi="Arial"/>
                <w:sz w:val="18"/>
                <w:szCs w:val="18"/>
                <w:color w:val="auto"/>
                <w:w w:val="99"/>
              </w:rPr>
              <w:t>X</w:t>
            </w:r>
          </w:p>
        </w:tc>
      </w:tr>
      <w:tr>
        <w:trPr>
          <w:trHeight w:val="196"/>
        </w:trPr>
        <w:tc>
          <w:tcPr>
            <w:tcW w:w="106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Pursuant to Rules 13a-14(a) and 15d-14(a) under the</w:t>
              </w:r>
            </w:hyperlink>
          </w:p>
        </w:tc>
        <w:tc>
          <w:tcPr>
            <w:tcW w:w="52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1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68">
              <w:r>
                <w:rPr>
                  <w:rFonts w:ascii="Arial" w:cs="Arial" w:eastAsia="Arial" w:hAnsi="Arial"/>
                  <w:sz w:val="18"/>
                  <w:szCs w:val="18"/>
                  <w:color w:val="0000EE"/>
                  <w:w w:val="90"/>
                </w:rPr>
                <w:t>Securities Exchange Act of 1934, as Adopted Pursuant to</w:t>
              </w:r>
            </w:hyperlink>
          </w:p>
        </w:tc>
        <w:tc>
          <w:tcPr>
            <w:tcW w:w="340" w:type="dxa"/>
            <w:vAlign w:val="bottom"/>
            <w:gridSpan w:val="4"/>
          </w:tcPr>
          <w:p>
            <w:pPr>
              <w:spacing w:after="0"/>
              <w:rPr>
                <w:sz w:val="17"/>
                <w:szCs w:val="17"/>
                <w:color w:val="auto"/>
              </w:rPr>
            </w:pPr>
          </w:p>
        </w:tc>
        <w:tc>
          <w:tcPr>
            <w:tcW w:w="5220" w:type="dxa"/>
            <w:vAlign w:val="bottom"/>
          </w:tcPr>
          <w:p>
            <w:pPr>
              <w:spacing w:after="0"/>
              <w:rPr>
                <w:sz w:val="17"/>
                <w:szCs w:val="17"/>
                <w:color w:val="auto"/>
              </w:rPr>
            </w:pPr>
          </w:p>
        </w:tc>
      </w:tr>
      <w:tr>
        <w:trPr>
          <w:trHeight w:val="237"/>
        </w:trPr>
        <w:tc>
          <w:tcPr>
            <w:tcW w:w="1060" w:type="dxa"/>
            <w:vAlign w:val="bottom"/>
          </w:tcPr>
          <w:p>
            <w:pPr>
              <w:spacing w:after="0"/>
              <w:rPr>
                <w:sz w:val="20"/>
                <w:szCs w:val="20"/>
                <w:color w:val="auto"/>
              </w:rPr>
            </w:pPr>
          </w:p>
        </w:tc>
        <w:tc>
          <w:tcPr>
            <w:tcW w:w="4500" w:type="dxa"/>
            <w:vAlign w:val="bottom"/>
            <w:gridSpan w:val="11"/>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Section 302 of the Sarbanes-Oxley Act of 2002</w:t>
              </w:r>
            </w:hyperlink>
          </w:p>
        </w:tc>
        <w:tc>
          <w:tcPr>
            <w:tcW w:w="5220" w:type="dxa"/>
            <w:vAlign w:val="bottom"/>
          </w:tcPr>
          <w:p>
            <w:pPr>
              <w:spacing w:after="0"/>
              <w:rPr>
                <w:sz w:val="20"/>
                <w:szCs w:val="20"/>
                <w:color w:val="auto"/>
              </w:rPr>
            </w:pP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41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69">
              <w:r>
                <w:rPr>
                  <w:rFonts w:ascii="Arial" w:cs="Arial" w:eastAsia="Arial" w:hAnsi="Arial"/>
                  <w:sz w:val="18"/>
                  <w:szCs w:val="18"/>
                  <w:color w:val="0000EE"/>
                  <w:w w:val="93"/>
                </w:rPr>
                <w:t>Certification of Principal Executive Officer and Principal</w:t>
              </w:r>
            </w:hyperlink>
          </w:p>
        </w:tc>
        <w:tc>
          <w:tcPr>
            <w:tcW w:w="360" w:type="dxa"/>
            <w:vAlign w:val="bottom"/>
            <w:gridSpan w:val="5"/>
          </w:tcPr>
          <w:p>
            <w:pPr>
              <w:spacing w:after="0"/>
              <w:rPr>
                <w:sz w:val="24"/>
                <w:szCs w:val="24"/>
                <w:color w:val="auto"/>
              </w:rPr>
            </w:pPr>
          </w:p>
        </w:tc>
        <w:tc>
          <w:tcPr>
            <w:tcW w:w="5220" w:type="dxa"/>
            <w:vAlign w:val="bottom"/>
          </w:tcPr>
          <w:p>
            <w:pPr>
              <w:ind w:left="5080"/>
              <w:spacing w:after="0"/>
              <w:rPr>
                <w:sz w:val="20"/>
                <w:szCs w:val="20"/>
                <w:color w:val="auto"/>
              </w:rPr>
            </w:pPr>
            <w:r>
              <w:rPr>
                <w:rFonts w:ascii="Arial" w:cs="Arial" w:eastAsia="Arial" w:hAnsi="Arial"/>
                <w:sz w:val="18"/>
                <w:szCs w:val="18"/>
                <w:color w:val="auto"/>
                <w:w w:val="99"/>
              </w:rPr>
              <w:t>X</w:t>
            </w:r>
          </w:p>
        </w:tc>
      </w:tr>
      <w:tr>
        <w:trPr>
          <w:trHeight w:val="196"/>
        </w:trPr>
        <w:tc>
          <w:tcPr>
            <w:tcW w:w="106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Financial and Accounting Officer Pursuant to 18 U.S.C.</w:t>
              </w:r>
            </w:hyperlink>
          </w:p>
        </w:tc>
        <w:tc>
          <w:tcPr>
            <w:tcW w:w="52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0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69">
              <w:r>
                <w:rPr>
                  <w:rFonts w:ascii="Arial" w:cs="Arial" w:eastAsia="Arial" w:hAnsi="Arial"/>
                  <w:sz w:val="18"/>
                  <w:szCs w:val="18"/>
                  <w:color w:val="0000EE"/>
                  <w:w w:val="89"/>
                </w:rPr>
                <w:t>Section 1350, as Adopted Pursuant to Section 906 of the</w:t>
              </w:r>
            </w:hyperlink>
          </w:p>
        </w:tc>
        <w:tc>
          <w:tcPr>
            <w:tcW w:w="420" w:type="dxa"/>
            <w:vAlign w:val="bottom"/>
            <w:gridSpan w:val="6"/>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Sarbanes-Oxley Act of 2002</w:t>
              </w:r>
            </w:hyperlink>
          </w:p>
        </w:tc>
        <w:tc>
          <w:tcPr>
            <w:tcW w:w="52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10880"/>
          </w:cols>
          <w:pgMar w:left="320" w:top="337" w:right="69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80" w:lineRule="exact"/>
        <w:rPr>
          <w:sz w:val="20"/>
          <w:szCs w:val="20"/>
          <w:color w:val="auto"/>
        </w:rPr>
      </w:pPr>
    </w:p>
    <w:p>
      <w:pPr>
        <w:ind w:left="1160" w:hanging="1062"/>
        <w:spacing w:after="0"/>
        <w:tabs>
          <w:tab w:leader="none" w:pos="116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Indicates a management or compensatory plan or arrangement in which directors or executive officers are eligible to participate.</w:t>
      </w:r>
    </w:p>
    <w:p>
      <w:pPr>
        <w:spacing w:after="0" w:line="140" w:lineRule="exact"/>
        <w:rPr>
          <w:sz w:val="20"/>
          <w:szCs w:val="20"/>
          <w:color w:val="auto"/>
        </w:rPr>
      </w:pPr>
    </w:p>
    <w:p>
      <w:pPr>
        <w:ind w:left="1160" w:hanging="1062"/>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Registrant has omitted portions of the exhibit as permitted under Item 601(b)(10) of Regulation S-K.</w:t>
      </w:r>
    </w:p>
    <w:p>
      <w:pPr>
        <w:spacing w:after="0" w:line="117" w:lineRule="exact"/>
        <w:rPr>
          <w:sz w:val="20"/>
          <w:szCs w:val="20"/>
          <w:color w:val="auto"/>
        </w:rPr>
      </w:pPr>
    </w:p>
    <w:p>
      <w:pPr>
        <w:jc w:val="both"/>
        <w:ind w:left="1160" w:hanging="1062"/>
        <w:spacing w:after="0" w:line="263" w:lineRule="auto"/>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The certifications furnished in Exhibits 32.1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spacing w:after="0" w:line="20" w:lineRule="exact"/>
        <w:rPr>
          <w:sz w:val="20"/>
          <w:szCs w:val="20"/>
          <w:color w:val="auto"/>
        </w:rPr>
      </w:pPr>
      <w:r>
        <w:rPr>
          <w:sz w:val="20"/>
          <w:szCs w:val="20"/>
          <w:color w:val="auto"/>
        </w:rPr>
        <w:br w:type="column"/>
      </w:r>
    </w:p>
    <w:p>
      <w:pPr>
        <w:jc w:val="both"/>
        <w:spacing w:after="0" w:line="381" w:lineRule="auto"/>
        <w:rPr>
          <w:sz w:val="20"/>
          <w:szCs w:val="20"/>
          <w:color w:val="auto"/>
        </w:rPr>
      </w:pPr>
      <w:r>
        <w:rPr>
          <w:rFonts w:ascii="Arial" w:cs="Arial" w:eastAsia="Arial" w:hAnsi="Arial"/>
          <w:sz w:val="18"/>
          <w:szCs w:val="18"/>
          <w:color w:val="auto"/>
        </w:rPr>
        <w:t>X X X X X X</w:t>
      </w:r>
    </w:p>
    <w:p>
      <w:pPr>
        <w:spacing w:after="0" w:line="1500" w:lineRule="exact"/>
        <w:rPr>
          <w:sz w:val="20"/>
          <w:szCs w:val="20"/>
          <w:color w:val="auto"/>
        </w:rPr>
      </w:pPr>
    </w:p>
    <w:p>
      <w:pPr>
        <w:sectPr>
          <w:pgSz w:w="11900" w:h="16838" w:orient="portrait"/>
          <w:cols w:equalWidth="0" w:num="2">
            <w:col w:w="10700" w:space="40"/>
            <w:col w:w="140"/>
          </w:cols>
          <w:pgMar w:left="320" w:top="337" w:right="69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80"/>
          </w:cols>
          <w:pgMar w:left="320" w:top="337" w:right="699" w:bottom="144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9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NURIX THERAPEUTICS, INC.</w:t>
      </w:r>
    </w:p>
    <w:p>
      <w:pPr>
        <w:spacing w:after="0" w:line="117" w:lineRule="exact"/>
        <w:rPr>
          <w:sz w:val="20"/>
          <w:szCs w:val="20"/>
          <w:color w:val="auto"/>
        </w:rPr>
      </w:pPr>
    </w:p>
    <w:p>
      <w:pPr>
        <w:spacing w:after="0"/>
        <w:tabs>
          <w:tab w:leader="none" w:pos="5500" w:val="left"/>
          <w:tab w:leader="none" w:pos="782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w:t>
      </w:r>
      <w:r>
        <w:rPr>
          <w:rFonts w:ascii="Arial" w:cs="Arial" w:eastAsia="Arial" w:hAnsi="Arial"/>
          <w:sz w:val="11"/>
          <w:szCs w:val="11"/>
          <w:color w:val="auto"/>
        </w:rPr>
        <w:t>RTHUR</w:t>
      </w:r>
      <w:r>
        <w:rPr>
          <w:rFonts w:ascii="Arial" w:cs="Arial" w:eastAsia="Arial" w:hAnsi="Arial"/>
          <w:sz w:val="17"/>
          <w:szCs w:val="17"/>
          <w:color w:val="auto"/>
        </w:rPr>
        <w:t xml:space="preserve"> T. S</w:t>
      </w:r>
      <w:r>
        <w:rPr>
          <w:rFonts w:ascii="Arial" w:cs="Arial" w:eastAsia="Arial" w:hAnsi="Arial"/>
          <w:sz w:val="11"/>
          <w:szCs w:val="11"/>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Arthur T. Sands, M.D., Ph.D.</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i w:val="1"/>
          <w:iCs w:val="1"/>
          <w:color w:val="auto"/>
        </w:rPr>
        <w:t>President, Chief Executive Officer and Director</w:t>
      </w:r>
    </w:p>
    <w:p>
      <w:pPr>
        <w:spacing w:after="0" w:line="328"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Arthur T. Sands and Hans van Houte,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6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1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A</w:t>
            </w:r>
            <w:r>
              <w:rPr>
                <w:rFonts w:ascii="Arial" w:cs="Arial" w:eastAsia="Arial" w:hAnsi="Arial"/>
                <w:sz w:val="9"/>
                <w:szCs w:val="9"/>
                <w:color w:val="auto"/>
                <w:w w:val="98"/>
              </w:rPr>
              <w:t>RTHUR</w:t>
            </w:r>
            <w:r>
              <w:rPr>
                <w:rFonts w:ascii="Arial" w:cs="Arial" w:eastAsia="Arial" w:hAnsi="Arial"/>
                <w:sz w:val="14"/>
                <w:szCs w:val="14"/>
                <w:color w:val="auto"/>
                <w:w w:val="98"/>
              </w:rPr>
              <w:t xml:space="preserve"> T. S</w:t>
            </w:r>
            <w:r>
              <w:rPr>
                <w:rFonts w:ascii="Arial" w:cs="Arial" w:eastAsia="Arial" w:hAnsi="Arial"/>
                <w:sz w:val="9"/>
                <w:szCs w:val="9"/>
                <w:color w:val="auto"/>
                <w:w w:val="98"/>
              </w:rPr>
              <w:t>ANDS</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President, Chief Executive Officer and 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2"/>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Arthur T. Sands, M.D., Ph.D.</w:t>
            </w:r>
          </w:p>
        </w:tc>
        <w:tc>
          <w:tcPr>
            <w:tcW w:w="120" w:type="dxa"/>
            <w:vAlign w:val="bottom"/>
          </w:tcPr>
          <w:p>
            <w:pPr>
              <w:spacing w:after="0"/>
              <w:rPr>
                <w:sz w:val="15"/>
                <w:szCs w:val="15"/>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w:t>
            </w:r>
            <w:r>
              <w:rPr>
                <w:rFonts w:ascii="Arial" w:cs="Arial" w:eastAsia="Arial" w:hAnsi="Arial"/>
                <w:sz w:val="14"/>
                <w:szCs w:val="14"/>
                <w:i w:val="1"/>
                <w:iCs w:val="1"/>
                <w:color w:val="auto"/>
                <w:w w:val="97"/>
              </w:rPr>
              <w:t>Principal Executive Officer</w:t>
            </w:r>
            <w:r>
              <w:rPr>
                <w:rFonts w:ascii="Arial" w:cs="Arial" w:eastAsia="Arial" w:hAnsi="Arial"/>
                <w:sz w:val="14"/>
                <w:szCs w:val="14"/>
                <w:color w:val="auto"/>
                <w:w w:val="97"/>
              </w:rPr>
              <w:t>)</w:t>
            </w: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H</w:t>
            </w:r>
            <w:r>
              <w:rPr>
                <w:rFonts w:ascii="Arial" w:cs="Arial" w:eastAsia="Arial" w:hAnsi="Arial"/>
                <w:sz w:val="9"/>
                <w:szCs w:val="9"/>
                <w:color w:val="auto"/>
              </w:rPr>
              <w:t>ANS VAN</w:t>
            </w:r>
            <w:r>
              <w:rPr>
                <w:rFonts w:ascii="Arial" w:cs="Arial" w:eastAsia="Arial" w:hAnsi="Arial"/>
                <w:sz w:val="14"/>
                <w:szCs w:val="14"/>
                <w:color w:val="auto"/>
              </w:rPr>
              <w:t xml:space="preserve"> H</w:t>
            </w:r>
            <w:r>
              <w:rPr>
                <w:rFonts w:ascii="Arial" w:cs="Arial" w:eastAsia="Arial" w:hAnsi="Arial"/>
                <w:sz w:val="9"/>
                <w:szCs w:val="9"/>
                <w:color w:val="auto"/>
              </w:rPr>
              <w:t>OUTE</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Chief Financial Officer</w:t>
            </w:r>
          </w:p>
        </w:tc>
        <w:tc>
          <w:tcPr>
            <w:tcW w:w="2420" w:type="dxa"/>
            <w:vAlign w:val="bottom"/>
          </w:tcPr>
          <w:p>
            <w:pPr>
              <w:jc w:val="center"/>
              <w:spacing w:after="0"/>
              <w:rPr>
                <w:sz w:val="20"/>
                <w:szCs w:val="20"/>
                <w:color w:val="auto"/>
              </w:rPr>
            </w:pPr>
            <w:r>
              <w:rPr>
                <w:rFonts w:ascii="Arial" w:cs="Arial" w:eastAsia="Arial" w:hAnsi="Arial"/>
                <w:sz w:val="14"/>
                <w:szCs w:val="14"/>
                <w:color w:val="auto"/>
                <w:w w:val="92"/>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Hans van Houte</w:t>
            </w:r>
          </w:p>
        </w:tc>
        <w:tc>
          <w:tcPr>
            <w:tcW w:w="120" w:type="dxa"/>
            <w:vAlign w:val="bottom"/>
          </w:tcPr>
          <w:p>
            <w:pPr>
              <w:spacing w:after="0"/>
              <w:rPr>
                <w:sz w:val="15"/>
                <w:szCs w:val="15"/>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w:t>
            </w:r>
            <w:r>
              <w:rPr>
                <w:rFonts w:ascii="Arial" w:cs="Arial" w:eastAsia="Arial" w:hAnsi="Arial"/>
                <w:sz w:val="14"/>
                <w:szCs w:val="14"/>
                <w:i w:val="1"/>
                <w:iCs w:val="1"/>
                <w:color w:val="auto"/>
                <w:w w:val="97"/>
              </w:rPr>
              <w:t>Principal Financial and Accounting Officer</w:t>
            </w:r>
            <w:r>
              <w:rPr>
                <w:rFonts w:ascii="Arial" w:cs="Arial" w:eastAsia="Arial" w:hAnsi="Arial"/>
                <w:sz w:val="14"/>
                <w:szCs w:val="14"/>
                <w:color w:val="auto"/>
                <w:w w:val="97"/>
              </w:rPr>
              <w:t>)</w:t>
            </w: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D</w:t>
            </w:r>
            <w:r>
              <w:rPr>
                <w:rFonts w:ascii="Arial" w:cs="Arial" w:eastAsia="Arial" w:hAnsi="Arial"/>
                <w:sz w:val="9"/>
                <w:szCs w:val="9"/>
                <w:color w:val="auto"/>
              </w:rPr>
              <w:t>AVID</w:t>
            </w:r>
            <w:r>
              <w:rPr>
                <w:rFonts w:ascii="Arial" w:cs="Arial" w:eastAsia="Arial" w:hAnsi="Arial"/>
                <w:sz w:val="14"/>
                <w:szCs w:val="14"/>
                <w:color w:val="auto"/>
              </w:rPr>
              <w:t xml:space="preserve"> L. L</w:t>
            </w:r>
            <w:r>
              <w:rPr>
                <w:rFonts w:ascii="Arial" w:cs="Arial" w:eastAsia="Arial" w:hAnsi="Arial"/>
                <w:sz w:val="9"/>
                <w:szCs w:val="9"/>
                <w:color w:val="auto"/>
              </w:rPr>
              <w:t>ACEY</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2"/>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David L. Lacey, M.D.</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L</w:t>
            </w:r>
            <w:r>
              <w:rPr>
                <w:rFonts w:ascii="Arial" w:cs="Arial" w:eastAsia="Arial" w:hAnsi="Arial"/>
                <w:sz w:val="9"/>
                <w:szCs w:val="9"/>
                <w:color w:val="auto"/>
                <w:w w:val="98"/>
              </w:rPr>
              <w:t>EON</w:t>
            </w:r>
            <w:r>
              <w:rPr>
                <w:rFonts w:ascii="Arial" w:cs="Arial" w:eastAsia="Arial" w:hAnsi="Arial"/>
                <w:sz w:val="14"/>
                <w:szCs w:val="14"/>
                <w:color w:val="auto"/>
                <w:w w:val="98"/>
              </w:rPr>
              <w:t xml:space="preserve"> C</w:t>
            </w:r>
            <w:r>
              <w:rPr>
                <w:rFonts w:ascii="Arial" w:cs="Arial" w:eastAsia="Arial" w:hAnsi="Arial"/>
                <w:sz w:val="9"/>
                <w:szCs w:val="9"/>
                <w:color w:val="auto"/>
                <w:w w:val="98"/>
              </w:rPr>
              <w:t>HEN</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2"/>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Leon Chen, Ph.D.</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 J</w:t>
            </w:r>
            <w:r>
              <w:rPr>
                <w:rFonts w:ascii="Arial" w:cs="Arial" w:eastAsia="Arial" w:hAnsi="Arial"/>
                <w:sz w:val="9"/>
                <w:szCs w:val="9"/>
                <w:color w:val="auto"/>
                <w:w w:val="96"/>
              </w:rPr>
              <w:t>ULIA</w:t>
            </w:r>
            <w:r>
              <w:rPr>
                <w:rFonts w:ascii="Arial" w:cs="Arial" w:eastAsia="Arial" w:hAnsi="Arial"/>
                <w:sz w:val="14"/>
                <w:szCs w:val="14"/>
                <w:color w:val="auto"/>
                <w:w w:val="96"/>
              </w:rPr>
              <w:t xml:space="preserve"> P. G</w:t>
            </w:r>
            <w:r>
              <w:rPr>
                <w:rFonts w:ascii="Arial" w:cs="Arial" w:eastAsia="Arial" w:hAnsi="Arial"/>
                <w:sz w:val="9"/>
                <w:szCs w:val="9"/>
                <w:color w:val="auto"/>
                <w:w w:val="96"/>
              </w:rPr>
              <w:t>REGORY</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2"/>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Julia P. Gregory</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L</w:t>
            </w:r>
            <w:r>
              <w:rPr>
                <w:rFonts w:ascii="Arial" w:cs="Arial" w:eastAsia="Arial" w:hAnsi="Arial"/>
                <w:sz w:val="9"/>
                <w:szCs w:val="9"/>
                <w:color w:val="auto"/>
              </w:rPr>
              <w:t>ORI</w:t>
            </w:r>
            <w:r>
              <w:rPr>
                <w:rFonts w:ascii="Arial" w:cs="Arial" w:eastAsia="Arial" w:hAnsi="Arial"/>
                <w:sz w:val="14"/>
                <w:szCs w:val="14"/>
                <w:color w:val="auto"/>
              </w:rPr>
              <w:t xml:space="preserve"> A. K</w:t>
            </w:r>
            <w:r>
              <w:rPr>
                <w:rFonts w:ascii="Arial" w:cs="Arial" w:eastAsia="Arial" w:hAnsi="Arial"/>
                <w:sz w:val="9"/>
                <w:szCs w:val="9"/>
                <w:color w:val="auto"/>
              </w:rPr>
              <w:t>UNKEL</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2"/>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9"/>
              </w:rPr>
              <w:t>Lori A. Kunkel, M.D.</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 J</w:t>
            </w:r>
            <w:r>
              <w:rPr>
                <w:rFonts w:ascii="Arial" w:cs="Arial" w:eastAsia="Arial" w:hAnsi="Arial"/>
                <w:sz w:val="9"/>
                <w:szCs w:val="9"/>
                <w:color w:val="auto"/>
                <w:w w:val="97"/>
              </w:rPr>
              <w:t>EFFREY</w:t>
            </w:r>
            <w:r>
              <w:rPr>
                <w:rFonts w:ascii="Arial" w:cs="Arial" w:eastAsia="Arial" w:hAnsi="Arial"/>
                <w:sz w:val="14"/>
                <w:szCs w:val="14"/>
                <w:color w:val="auto"/>
                <w:w w:val="97"/>
              </w:rPr>
              <w:t xml:space="preserve"> K. T</w:t>
            </w:r>
            <w:r>
              <w:rPr>
                <w:rFonts w:ascii="Arial" w:cs="Arial" w:eastAsia="Arial" w:hAnsi="Arial"/>
                <w:sz w:val="9"/>
                <w:szCs w:val="9"/>
                <w:color w:val="auto"/>
                <w:w w:val="97"/>
              </w:rPr>
              <w:t>ONG</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2"/>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Jeffrey K. Tong, Ph.D.</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337"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4.3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60" w:firstLine="864"/>
        <w:spacing w:after="0" w:line="255" w:lineRule="auto"/>
        <w:rPr>
          <w:sz w:val="20"/>
          <w:szCs w:val="20"/>
          <w:color w:val="auto"/>
        </w:rPr>
      </w:pPr>
      <w:r>
        <w:rPr>
          <w:rFonts w:ascii="Arial" w:cs="Arial" w:eastAsia="Arial" w:hAnsi="Arial"/>
          <w:sz w:val="18"/>
          <w:szCs w:val="18"/>
          <w:color w:val="auto"/>
        </w:rPr>
        <w:t>The following summary of the terms of our capital stock is based upon our restated certificate of incorporation, our restated bylaws, our amended and restated investors’ rights agreement and applicable provisions of the Delaware General Corporation Law (DGCL). This summary is not complete, and is qualified by reference to our restated certificate of incorporation, our restated bylaws and our amended and restated investors’ rights agreement which are filed as exhibits to this Annual Report on Form 10-K and are incorporated by reference herein. We encourage you to read our restated certificate of incorporation, our restated bylaws, our amended and restated investors’ rights agreement and the applicable provisions of the DGCL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900" w:firstLine="864"/>
        <w:spacing w:after="0" w:line="277" w:lineRule="auto"/>
        <w:rPr>
          <w:sz w:val="20"/>
          <w:szCs w:val="20"/>
          <w:color w:val="auto"/>
        </w:rPr>
      </w:pPr>
      <w:r>
        <w:rPr>
          <w:rFonts w:ascii="Arial" w:cs="Arial" w:eastAsia="Arial" w:hAnsi="Arial"/>
          <w:sz w:val="18"/>
          <w:szCs w:val="18"/>
          <w:color w:val="auto"/>
        </w:rPr>
        <w:t>Our authorized capital stock consists of 500,000,000 shares of common stock, $0.001 par value per share, and 10,000,000 shares of undesignated preferred stock, $0.001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160" w:firstLine="864"/>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80" w:firstLine="864"/>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are able to elect all of our directors. Our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right="160" w:firstLine="864"/>
        <w:spacing w:after="0" w:line="311" w:lineRule="auto"/>
        <w:rPr>
          <w:sz w:val="20"/>
          <w:szCs w:val="20"/>
          <w:color w:val="auto"/>
        </w:rPr>
      </w:pPr>
      <w:r>
        <w:rPr>
          <w:rFonts w:ascii="Arial" w:cs="Arial" w:eastAsia="Arial" w:hAnsi="Arial"/>
          <w:sz w:val="16"/>
          <w:szCs w:val="16"/>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60" w:firstLine="864"/>
        <w:spacing w:after="0" w:line="272" w:lineRule="auto"/>
        <w:rPr>
          <w:sz w:val="20"/>
          <w:szCs w:val="20"/>
          <w:color w:val="auto"/>
        </w:rPr>
      </w:pPr>
      <w:r>
        <w:rPr>
          <w:rFonts w:ascii="Arial" w:cs="Arial" w:eastAsia="Arial" w:hAnsi="Arial"/>
          <w:sz w:val="17"/>
          <w:szCs w:val="17"/>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line="277" w:lineRule="auto"/>
        <w:rPr>
          <w:sz w:val="20"/>
          <w:szCs w:val="20"/>
          <w:color w:val="auto"/>
        </w:rPr>
      </w:pPr>
      <w:r>
        <w:rPr>
          <w:rFonts w:ascii="Arial" w:cs="Arial" w:eastAsia="Arial" w:hAnsi="Arial"/>
          <w:sz w:val="18"/>
          <w:szCs w:val="18"/>
          <w:color w:val="auto"/>
        </w:rPr>
        <w:t>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160" w:firstLine="864"/>
        <w:spacing w:after="0" w:line="301" w:lineRule="auto"/>
        <w:rPr>
          <w:sz w:val="20"/>
          <w:szCs w:val="20"/>
          <w:color w:val="auto"/>
        </w:rPr>
      </w:pPr>
      <w:r>
        <w:rPr>
          <w:rFonts w:ascii="Arial" w:cs="Arial" w:eastAsia="Arial" w:hAnsi="Arial"/>
          <w:sz w:val="16"/>
          <w:szCs w:val="16"/>
          <w:color w:val="auto"/>
        </w:rPr>
        <w:t>Certain of our holders of common stock are entitled to certain registration rights with respect to the registration of these shares under the Securities Act of 1933, as amended (the Securities Act). We refer to these shares collectively as registrable securities. These rights are provided under the terms of an amended and restated investors’ rights agreement between us and the holders of these shares, which was entered into in connection with our preferred stock financings, and include demand registration rights, piggyback registration rights and short-form registration rights.</w:t>
      </w:r>
    </w:p>
    <w:p>
      <w:pPr>
        <w:spacing w:after="0" w:line="157" w:lineRule="exact"/>
        <w:rPr>
          <w:sz w:val="20"/>
          <w:szCs w:val="20"/>
          <w:color w:val="auto"/>
        </w:rPr>
      </w:pPr>
    </w:p>
    <w:p>
      <w:pPr>
        <w:ind w:right="20" w:firstLine="864"/>
        <w:spacing w:after="0" w:line="301" w:lineRule="auto"/>
        <w:rPr>
          <w:sz w:val="20"/>
          <w:szCs w:val="20"/>
          <w:color w:val="auto"/>
        </w:rPr>
      </w:pPr>
      <w:r>
        <w:rPr>
          <w:rFonts w:ascii="Arial" w:cs="Arial" w:eastAsia="Arial" w:hAnsi="Arial"/>
          <w:sz w:val="16"/>
          <w:szCs w:val="16"/>
          <w:color w:val="auto"/>
        </w:rPr>
        <w:t>The registration rights expire upon the earlier to occur of (i) four years following the completion of our initial public offering, (ii) the closing of an acquisition, asset transfer or liquidation event, each as defined in our restated certificate of incorporation or (iii) with respect to any particular holder of these rights holding less than one percent of our outstanding common stock, such time after our initial public offering as the registrable securities held by such holder may be sold within any ninety-day period without restriction pursuant to Rule 144 promulgated under the Securities Act.</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generally will pay all expenses, other than underwriting discounts and commissions, in connection with these registration rights.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40" w:firstLine="864"/>
        <w:spacing w:after="0" w:line="269" w:lineRule="auto"/>
        <w:rPr>
          <w:sz w:val="20"/>
          <w:szCs w:val="20"/>
          <w:color w:val="auto"/>
        </w:rPr>
      </w:pPr>
      <w:r>
        <w:rPr>
          <w:rFonts w:ascii="Arial" w:cs="Arial" w:eastAsia="Arial" w:hAnsi="Arial"/>
          <w:sz w:val="17"/>
          <w:szCs w:val="17"/>
          <w:color w:val="auto"/>
        </w:rPr>
        <w:t>Beginning 180 days after the completion of our initial public offering, the holders of at least 66 2/3% of the then-outstanding registrable securities may make a written request to us for the registration under the Securities Act of registrable securities representing at least 66 2/3% of the then outstanding registrable securities held by such holders. Promptly following such request, and only to the extent that the anticipated aggregate offering price to the public of the shares, net of underwriting discounts and commissions, would exceed $10 million, we are obligated to provide written notice of such request to all stockholders and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120 days, if we furnish to the holders requesting such registration a certificate stating that, in the good faith judgment of our board of directors, it would be seriously detrimental to us and our stockholders for such registration statement to be effected at such time.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right="200" w:firstLine="864"/>
        <w:spacing w:after="0" w:line="255" w:lineRule="auto"/>
        <w:rPr>
          <w:sz w:val="20"/>
          <w:szCs w:val="20"/>
          <w:color w:val="auto"/>
        </w:rPr>
      </w:pPr>
      <w:r>
        <w:rPr>
          <w:rFonts w:ascii="Arial" w:cs="Arial" w:eastAsia="Arial" w:hAnsi="Arial"/>
          <w:sz w:val="18"/>
          <w:szCs w:val="18"/>
          <w:color w:val="auto"/>
        </w:rPr>
        <w:t>The holders of at least 25% of the then-outstanding registrable securities can request that we register all or part of their shares on Form S-3 if we are eligible to file a registration statement on Form S-3 and if the aggregate price to the public of the shares offered is at least $7.5 million. The stockholders may only require us to effect two registration statements on Form S-3 in a 12-month period. We may postpone taking action with respect to such filing not more than once during any 12-month period for a total period of not more than 120 days, if we furnish to the holders requesting such registration a certificate stating that, in the good faith judgment of our board of directors, it would be seriously detrimental to us and our stockholders for such registration statement to be effected at such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jc w:val="both"/>
        <w:ind w:right="40" w:firstLine="864"/>
        <w:spacing w:after="0" w:line="311" w:lineRule="auto"/>
        <w:rPr>
          <w:sz w:val="20"/>
          <w:szCs w:val="20"/>
          <w:color w:val="auto"/>
        </w:rPr>
      </w:pPr>
      <w:r>
        <w:rPr>
          <w:rFonts w:ascii="Arial" w:cs="Arial" w:eastAsia="Arial" w:hAnsi="Arial"/>
          <w:sz w:val="16"/>
          <w:szCs w:val="16"/>
          <w:color w:val="auto"/>
        </w:rPr>
        <w:t>If we register any of our securities for public sale, holders of then-outstanding registrable securities or their permitted transferees will have the right to include their registrable securities in the registration statement. However, this right does not apply to a Form S-3 registration as described above, or a registration related to any employee benefit plan, corporate reorganization or stock issuance upon conversion of debt securities. The underwriters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4" w:name="page155"/>
    <w:bookmarkEnd w:id="154"/>
    <w:p>
      <w:pPr>
        <w:spacing w:after="0" w:line="273" w:lineRule="auto"/>
        <w:rPr>
          <w:sz w:val="20"/>
          <w:szCs w:val="20"/>
          <w:color w:val="auto"/>
        </w:rPr>
      </w:pPr>
      <w:r>
        <w:rPr>
          <w:rFonts w:ascii="Arial" w:cs="Arial" w:eastAsia="Arial" w:hAnsi="Arial"/>
          <w:sz w:val="17"/>
          <w:szCs w:val="17"/>
          <w:color w:val="auto"/>
        </w:rPr>
        <w:t>underwritten offering will have the right to limit the number of shares registered by these holders if they determine that marketing factors require limitation, in which case the number of shares to be registered will be apportioned first to us, second among these holders pro rata, according to the total number of registrable securities originally requested by such holders to be included in the registration statement and third to any other stockholder pro rata. However, the number of shares to be registered by these holders cannot be reduced below 30% of the registrable securities such holders requested to be included in such offering, unless such offering is the initial offering and such registration does not include shares of any other selling stockholders, in which event any or all of the registrable securities of the requesting holders may be excluded.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firstLine="864"/>
        <w:spacing w:after="0" w:line="275" w:lineRule="auto"/>
        <w:rPr>
          <w:sz w:val="20"/>
          <w:szCs w:val="20"/>
          <w:color w:val="auto"/>
        </w:rPr>
      </w:pPr>
      <w:r>
        <w:rPr>
          <w:rFonts w:ascii="Arial" w:cs="Arial" w:eastAsia="Arial" w:hAnsi="Arial"/>
          <w:sz w:val="17"/>
          <w:szCs w:val="17"/>
          <w:color w:val="auto"/>
        </w:rPr>
        <w:t>The provisions of DGCL,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ind w:right="160" w:firstLine="864"/>
        <w:spacing w:after="0" w:line="263"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76" w:lineRule="exact"/>
        <w:rPr>
          <w:sz w:val="20"/>
          <w:szCs w:val="20"/>
          <w:color w:val="auto"/>
        </w:rPr>
      </w:pPr>
    </w:p>
    <w:p>
      <w:pPr>
        <w:ind w:left="1300" w:right="220" w:hanging="442"/>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1300" w:right="180" w:hanging="442"/>
        <w:spacing w:after="0" w:line="25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79" w:lineRule="exact"/>
        <w:rPr>
          <w:rFonts w:ascii="Arial" w:cs="Arial" w:eastAsia="Arial" w:hAnsi="Arial"/>
          <w:sz w:val="18"/>
          <w:szCs w:val="18"/>
          <w:color w:val="auto"/>
        </w:rPr>
      </w:pPr>
    </w:p>
    <w:p>
      <w:pPr>
        <w:ind w:left="1300" w:right="180" w:hanging="442"/>
        <w:spacing w:after="0" w:line="263"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firstLine="864"/>
        <w:spacing w:after="0" w:line="286"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Section 203 may also discourage attempts that might result in a premium over the market price for the shares of common stock held by stockholders.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225" w:lineRule="exact"/>
        <w:rPr>
          <w:sz w:val="20"/>
          <w:szCs w:val="20"/>
          <w:color w:val="auto"/>
        </w:rPr>
      </w:pPr>
    </w:p>
    <w:p>
      <w:pPr>
        <w:ind w:right="240" w:firstLine="864"/>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could deter hostile takeovers or delay or prevent changes in control of our company, including the following:</w:t>
      </w:r>
    </w:p>
    <w:p>
      <w:pPr>
        <w:spacing w:after="0" w:line="62" w:lineRule="exact"/>
        <w:rPr>
          <w:sz w:val="20"/>
          <w:szCs w:val="20"/>
          <w:color w:val="auto"/>
        </w:rPr>
      </w:pPr>
    </w:p>
    <w:p>
      <w:pPr>
        <w:ind w:left="1300" w:right="340" w:hanging="442"/>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vacancies. </w:t>
      </w:r>
      <w:r>
        <w:rPr>
          <w:rFonts w:ascii="Arial" w:cs="Arial" w:eastAsia="Arial" w:hAnsi="Arial"/>
          <w:sz w:val="18"/>
          <w:szCs w:val="18"/>
          <w:color w:val="auto"/>
        </w:rPr>
        <w:t>Our restated certificate of incorporation and restated bylaws authorize only our board of directors to fill</w:t>
      </w:r>
      <w:r>
        <w:rPr>
          <w:rFonts w:ascii="Arial" w:cs="Arial" w:eastAsia="Arial" w:hAnsi="Arial"/>
          <w:sz w:val="18"/>
          <w:szCs w:val="18"/>
          <w:i w:val="1"/>
          <w:iCs w:val="1"/>
          <w:color w:val="auto"/>
        </w:rPr>
        <w:t xml:space="preserve"> </w:t>
      </w:r>
      <w:r>
        <w:rPr>
          <w:rFonts w:ascii="Arial" w:cs="Arial" w:eastAsia="Arial" w:hAnsi="Arial"/>
          <w:sz w:val="18"/>
          <w:szCs w:val="18"/>
          <w:color w:val="auto"/>
        </w:rPr>
        <w:t>vacant directorships, including newly created seats. In addition,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5" w:name="page156"/>
    <w:bookmarkEnd w:id="155"/>
    <w:p>
      <w:pPr>
        <w:ind w:left="442" w:right="100"/>
        <w:spacing w:after="0" w:line="259" w:lineRule="auto"/>
        <w:rPr>
          <w:sz w:val="20"/>
          <w:szCs w:val="20"/>
          <w:color w:val="auto"/>
        </w:rPr>
      </w:pPr>
      <w:r>
        <w:rPr>
          <w:rFonts w:ascii="Arial" w:cs="Arial" w:eastAsia="Arial" w:hAnsi="Arial"/>
          <w:sz w:val="18"/>
          <w:szCs w:val="18"/>
          <w:color w:val="auto"/>
        </w:rPr>
        <w:t>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9" w:lineRule="exact"/>
        <w:rPr>
          <w:sz w:val="20"/>
          <w:szCs w:val="20"/>
          <w:color w:val="auto"/>
        </w:rPr>
      </w:pPr>
    </w:p>
    <w:p>
      <w:pPr>
        <w:ind w:left="442" w:right="220" w:hanging="442"/>
        <w:spacing w:after="0" w:line="259" w:lineRule="auto"/>
        <w:tabs>
          <w:tab w:leader="none" w:pos="442"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Classified board. Our restated certificate of incorporation and restated bylaws provide that our board of directors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78" w:lineRule="exact"/>
        <w:rPr>
          <w:rFonts w:ascii="Arial" w:cs="Arial" w:eastAsia="Arial" w:hAnsi="Arial"/>
          <w:sz w:val="18"/>
          <w:szCs w:val="18"/>
          <w:color w:val="auto"/>
        </w:rPr>
      </w:pPr>
    </w:p>
    <w:p>
      <w:pPr>
        <w:ind w:left="442" w:hanging="442"/>
        <w:spacing w:after="0" w:line="271" w:lineRule="auto"/>
        <w:tabs>
          <w:tab w:leader="none" w:pos="442" w:val="left"/>
        </w:tabs>
        <w:numPr>
          <w:ilvl w:val="0"/>
          <w:numId w:val="73"/>
        </w:numPr>
        <w:rPr>
          <w:rFonts w:ascii="Arial" w:cs="Arial" w:eastAsia="Arial" w:hAnsi="Arial"/>
          <w:sz w:val="17"/>
          <w:szCs w:val="17"/>
          <w:color w:val="auto"/>
        </w:rPr>
      </w:pPr>
      <w:r>
        <w:rPr>
          <w:rFonts w:ascii="Arial" w:cs="Arial" w:eastAsia="Arial" w:hAnsi="Arial"/>
          <w:sz w:val="17"/>
          <w:szCs w:val="17"/>
          <w:color w:val="auto"/>
        </w:rPr>
        <w:t>Stockholder action; special meetings of stockholders. Our restated certificate of incorporation provides that our stockholders may not 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the lead independent director (as defined in our restated bylaws)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70" w:lineRule="exact"/>
        <w:rPr>
          <w:rFonts w:ascii="Arial" w:cs="Arial" w:eastAsia="Arial" w:hAnsi="Arial"/>
          <w:sz w:val="17"/>
          <w:szCs w:val="17"/>
          <w:color w:val="auto"/>
        </w:rPr>
      </w:pPr>
    </w:p>
    <w:p>
      <w:pPr>
        <w:ind w:left="442" w:right="20" w:hanging="442"/>
        <w:spacing w:after="0" w:line="272" w:lineRule="auto"/>
        <w:tabs>
          <w:tab w:leader="none" w:pos="442" w:val="left"/>
        </w:tabs>
        <w:numPr>
          <w:ilvl w:val="0"/>
          <w:numId w:val="73"/>
        </w:numPr>
        <w:rPr>
          <w:rFonts w:ascii="Arial" w:cs="Arial" w:eastAsia="Arial" w:hAnsi="Arial"/>
          <w:sz w:val="17"/>
          <w:szCs w:val="17"/>
          <w:color w:val="auto"/>
        </w:rPr>
      </w:pPr>
      <w:r>
        <w:rPr>
          <w:rFonts w:ascii="Arial" w:cs="Arial" w:eastAsia="Arial" w:hAnsi="Arial"/>
          <w:sz w:val="17"/>
          <w:szCs w:val="17"/>
          <w:color w:val="auto"/>
        </w:rPr>
        <w:t>Advance notice requirements for stockholder proposals and director nominations. Our restated bylaws provide advance notice procedures for stockholders seeking to bring business before our annual meeting of stockholders or to nominate candidates for election as directors at our annual meeting of stockholders. Our restated bylaws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69" w:lineRule="exact"/>
        <w:rPr>
          <w:rFonts w:ascii="Arial" w:cs="Arial" w:eastAsia="Arial" w:hAnsi="Arial"/>
          <w:sz w:val="17"/>
          <w:szCs w:val="17"/>
          <w:color w:val="auto"/>
        </w:rPr>
      </w:pPr>
    </w:p>
    <w:p>
      <w:pPr>
        <w:ind w:left="442" w:right="80" w:hanging="442"/>
        <w:spacing w:after="0" w:line="263" w:lineRule="auto"/>
        <w:tabs>
          <w:tab w:leader="none" w:pos="44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cumulative voting. The DGCL provides that stockholders are not entitled to the right to cumulate votes in the election of directors unless a corporation’s certificate of incorporation provides otherwise. Our restated certificate of incorporation and restated bylaws do not provide for cumulative voting.</w:t>
      </w:r>
    </w:p>
    <w:p>
      <w:pPr>
        <w:spacing w:after="0" w:line="75" w:lineRule="exact"/>
        <w:rPr>
          <w:rFonts w:ascii="Arial" w:cs="Arial" w:eastAsia="Arial" w:hAnsi="Arial"/>
          <w:sz w:val="18"/>
          <w:szCs w:val="18"/>
          <w:color w:val="auto"/>
        </w:rPr>
      </w:pPr>
    </w:p>
    <w:p>
      <w:pPr>
        <w:ind w:left="442" w:right="420" w:hanging="442"/>
        <w:spacing w:after="0" w:line="308" w:lineRule="auto"/>
        <w:tabs>
          <w:tab w:leader="none" w:pos="442" w:val="left"/>
        </w:tabs>
        <w:numPr>
          <w:ilvl w:val="0"/>
          <w:numId w:val="73"/>
        </w:numPr>
        <w:rPr>
          <w:rFonts w:ascii="Arial" w:cs="Arial" w:eastAsia="Arial" w:hAnsi="Arial"/>
          <w:sz w:val="17"/>
          <w:szCs w:val="17"/>
          <w:color w:val="auto"/>
        </w:rPr>
      </w:pPr>
      <w:r>
        <w:rPr>
          <w:rFonts w:ascii="Arial" w:cs="Arial" w:eastAsia="Arial" w:hAnsi="Arial"/>
          <w:sz w:val="17"/>
          <w:szCs w:val="17"/>
          <w:color w:val="auto"/>
        </w:rPr>
        <w:t>Directors removed only for cause. Our restated certificate of incorporation provides that stockholders may remove directors only for cause and only by the affirmative vote of the holders of at least two-thirds of our outstanding common stock.</w:t>
      </w:r>
    </w:p>
    <w:p>
      <w:pPr>
        <w:spacing w:after="0" w:line="38" w:lineRule="exact"/>
        <w:rPr>
          <w:rFonts w:ascii="Arial" w:cs="Arial" w:eastAsia="Arial" w:hAnsi="Arial"/>
          <w:sz w:val="17"/>
          <w:szCs w:val="17"/>
          <w:color w:val="auto"/>
        </w:rPr>
      </w:pPr>
    </w:p>
    <w:p>
      <w:pPr>
        <w:ind w:left="442" w:right="180" w:hanging="442"/>
        <w:spacing w:after="0" w:line="263" w:lineRule="auto"/>
        <w:tabs>
          <w:tab w:leader="none" w:pos="442"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Amendment of charter provisions. Any amendment of the above provisions in our restated certificate of incorporation requires approval by holders of at least two-thirds of our outstanding common stock unless such amendments are approved by two-thirds of our board of directors, in which case stockholders can approve by a simple majority.</w:t>
      </w:r>
    </w:p>
    <w:p>
      <w:pPr>
        <w:spacing w:after="0" w:line="75" w:lineRule="exact"/>
        <w:rPr>
          <w:rFonts w:ascii="Arial" w:cs="Arial" w:eastAsia="Arial" w:hAnsi="Arial"/>
          <w:sz w:val="18"/>
          <w:szCs w:val="18"/>
          <w:color w:val="auto"/>
        </w:rPr>
      </w:pPr>
    </w:p>
    <w:p>
      <w:pPr>
        <w:ind w:left="442" w:right="20" w:hanging="442"/>
        <w:spacing w:after="0" w:line="301" w:lineRule="auto"/>
        <w:tabs>
          <w:tab w:leader="none" w:pos="442" w:val="left"/>
        </w:tabs>
        <w:numPr>
          <w:ilvl w:val="0"/>
          <w:numId w:val="73"/>
        </w:numPr>
        <w:rPr>
          <w:rFonts w:ascii="Arial" w:cs="Arial" w:eastAsia="Arial" w:hAnsi="Arial"/>
          <w:sz w:val="16"/>
          <w:szCs w:val="16"/>
          <w:color w:val="auto"/>
        </w:rPr>
      </w:pPr>
      <w:r>
        <w:rPr>
          <w:rFonts w:ascii="Arial" w:cs="Arial" w:eastAsia="Arial" w:hAnsi="Arial"/>
          <w:sz w:val="16"/>
          <w:szCs w:val="16"/>
          <w:color w:val="auto"/>
        </w:rPr>
        <w:t>Issuance of undesignated preferred stock. Our board of directors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merger, tender offer, proxy contest or other means.</w:t>
      </w:r>
    </w:p>
    <w:p>
      <w:pPr>
        <w:spacing w:after="0" w:line="49" w:lineRule="exact"/>
        <w:rPr>
          <w:rFonts w:ascii="Arial" w:cs="Arial" w:eastAsia="Arial" w:hAnsi="Arial"/>
          <w:sz w:val="16"/>
          <w:szCs w:val="16"/>
          <w:color w:val="auto"/>
        </w:rPr>
      </w:pPr>
    </w:p>
    <w:p>
      <w:pPr>
        <w:ind w:left="442" w:right="120" w:hanging="442"/>
        <w:spacing w:after="0" w:line="279" w:lineRule="auto"/>
        <w:tabs>
          <w:tab w:leader="none" w:pos="442" w:val="left"/>
        </w:tabs>
        <w:numPr>
          <w:ilvl w:val="0"/>
          <w:numId w:val="73"/>
        </w:numPr>
        <w:rPr>
          <w:rFonts w:ascii="Arial" w:cs="Arial" w:eastAsia="Arial" w:hAnsi="Arial"/>
          <w:sz w:val="17"/>
          <w:szCs w:val="17"/>
          <w:color w:val="auto"/>
        </w:rPr>
      </w:pPr>
      <w:r>
        <w:rPr>
          <w:rFonts w:ascii="Arial" w:cs="Arial" w:eastAsia="Arial" w:hAnsi="Arial"/>
          <w:sz w:val="17"/>
          <w:szCs w:val="17"/>
          <w:color w:val="auto"/>
        </w:rPr>
        <w:t>Choice of forum. 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332105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476" w:right="339" w:bottom="1440" w:gutter="0" w:footer="0" w:header="0"/>
        </w:sectPr>
      </w:pPr>
    </w:p>
    <w:bookmarkStart w:id="156" w:name="page157"/>
    <w:bookmarkEnd w:id="156"/>
    <w:p>
      <w:pPr>
        <w:ind w:left="1300"/>
        <w:spacing w:after="0" w:line="286" w:lineRule="auto"/>
        <w:rPr>
          <w:sz w:val="20"/>
          <w:szCs w:val="20"/>
          <w:color w:val="auto"/>
        </w:rPr>
      </w:pPr>
      <w:r>
        <w:rPr>
          <w:rFonts w:ascii="Arial" w:cs="Arial" w:eastAsia="Arial" w:hAnsi="Arial"/>
          <w:sz w:val="16"/>
          <w:szCs w:val="16"/>
          <w:color w:val="auto"/>
        </w:rPr>
        <w:t>doctrine. Our restated bylaws also provide that the federal district courts of the United States of America are, to the fullest extent permitted by law,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Securities Exchange Act of 1934, as amended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listed on The Nasdaq Global Market under the symbol “NRIX.”</w:t>
      </w:r>
    </w:p>
    <w:p>
      <w:pPr>
        <w:sectPr>
          <w:pgSz w:w="11900" w:h="16838" w:orient="portrait"/>
          <w:cols w:equalWidth="0" w:num="1">
            <w:col w:w="11160"/>
          </w:cols>
          <w:pgMar w:left="320" w:top="476" w:right="419" w:bottom="1440" w:gutter="0" w:footer="0" w:header="0"/>
        </w:sectPr>
      </w:pPr>
    </w:p>
    <w:bookmarkStart w:id="157" w:name="page158"/>
    <w:bookmarkEnd w:id="157"/>
    <w:p>
      <w:pPr>
        <w:ind w:left="10320"/>
        <w:spacing w:after="0"/>
        <w:rPr>
          <w:sz w:val="20"/>
          <w:szCs w:val="20"/>
          <w:color w:val="auto"/>
        </w:rPr>
      </w:pPr>
      <w:r>
        <w:rPr>
          <w:rFonts w:ascii="Arial" w:cs="Arial" w:eastAsia="Arial" w:hAnsi="Arial"/>
          <w:sz w:val="16"/>
          <w:szCs w:val="16"/>
          <w:b w:val="1"/>
          <w:bCs w:val="1"/>
          <w:color w:val="auto"/>
        </w:rPr>
        <w:t>Exhibit 10.7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NURIX THERAPEUTICS, INC.</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July 15,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Christine Ring</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 Nurix Therapeutics,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RE: Continued Employment with Nurix Therapeutics,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Christine:</w:t>
      </w:r>
    </w:p>
    <w:p>
      <w:pPr>
        <w:spacing w:after="0" w:line="216"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20"/>
          <w:szCs w:val="20"/>
          <w:color w:val="auto"/>
        </w:rPr>
        <w:t>This employment letter sets forth the terms confirms your continued employment as General Counsel of Nurix Therapeutics,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or “</w:t>
      </w:r>
      <w:r>
        <w:rPr>
          <w:rFonts w:ascii="Arial" w:cs="Arial" w:eastAsia="Arial" w:hAnsi="Arial"/>
          <w:sz w:val="20"/>
          <w:szCs w:val="20"/>
          <w:b w:val="1"/>
          <w:bCs w:val="1"/>
          <w:color w:val="auto"/>
        </w:rPr>
        <w:t>Nurix</w:t>
      </w:r>
      <w:r>
        <w:rPr>
          <w:rFonts w:ascii="Arial" w:cs="Arial" w:eastAsia="Arial" w:hAnsi="Arial"/>
          <w:sz w:val="20"/>
          <w:szCs w:val="20"/>
          <w:color w:val="auto"/>
        </w:rPr>
        <w:t>”). You will continue to report to the Company’s Chief Executive Officer. This employment letter amends and restates the employment letter entered into between you and Nurix, dated August 6, 2019 (the “</w:t>
      </w:r>
      <w:r>
        <w:rPr>
          <w:rFonts w:ascii="Arial" w:cs="Arial" w:eastAsia="Arial" w:hAnsi="Arial"/>
          <w:sz w:val="20"/>
          <w:szCs w:val="20"/>
          <w:b w:val="1"/>
          <w:bCs w:val="1"/>
          <w:color w:val="auto"/>
        </w:rPr>
        <w:t>Prior</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12" w:lineRule="exact"/>
        <w:rPr>
          <w:sz w:val="20"/>
          <w:szCs w:val="20"/>
          <w:color w:val="auto"/>
        </w:rPr>
      </w:pPr>
    </w:p>
    <w:p>
      <w:pPr>
        <w:ind w:left="1240" w:hanging="800"/>
        <w:spacing w:after="0"/>
        <w:tabs>
          <w:tab w:leader="none" w:pos="1240" w:val="left"/>
        </w:tabs>
        <w:numPr>
          <w:ilvl w:val="0"/>
          <w:numId w:val="74"/>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Compensation</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010000"/>
        </w:rPr>
      </w:pPr>
    </w:p>
    <w:p>
      <w:pPr>
        <w:jc w:val="both"/>
        <w:ind w:right="20" w:firstLine="872"/>
        <w:spacing w:after="0" w:line="253" w:lineRule="auto"/>
        <w:tabs>
          <w:tab w:leader="none" w:pos="1649" w:val="left"/>
        </w:tabs>
        <w:numPr>
          <w:ilvl w:val="1"/>
          <w:numId w:val="74"/>
        </w:numPr>
        <w:rPr>
          <w:rFonts w:ascii="Arial" w:cs="Arial" w:eastAsia="Arial" w:hAnsi="Arial"/>
          <w:sz w:val="20"/>
          <w:szCs w:val="20"/>
          <w:color w:val="010000"/>
        </w:rPr>
      </w:pPr>
      <w:r>
        <w:rPr>
          <w:rFonts w:ascii="Arial" w:cs="Arial" w:eastAsia="Arial" w:hAnsi="Arial"/>
          <w:sz w:val="20"/>
          <w:szCs w:val="20"/>
          <w:b w:val="1"/>
          <w:bCs w:val="1"/>
          <w:u w:val="single" w:color="auto"/>
          <w:color w:val="auto"/>
        </w:rPr>
        <w:t>Salary</w:t>
      </w:r>
      <w:r>
        <w:rPr>
          <w:rFonts w:ascii="Arial" w:cs="Arial" w:eastAsia="Arial" w:hAnsi="Arial"/>
          <w:sz w:val="20"/>
          <w:szCs w:val="20"/>
          <w:color w:val="auto"/>
        </w:rPr>
        <w:t>. In this position, the Company will pay you an annual base salary of $400,000 per year, payable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Company’s standard payroll schedule. Your pay will be periodically reviewed as a part of the Company’s regular reviews of compensation.</w:t>
      </w:r>
    </w:p>
    <w:p>
      <w:pPr>
        <w:spacing w:after="0" w:line="177" w:lineRule="exact"/>
        <w:rPr>
          <w:rFonts w:ascii="Arial" w:cs="Arial" w:eastAsia="Arial" w:hAnsi="Arial"/>
          <w:sz w:val="20"/>
          <w:szCs w:val="20"/>
          <w:color w:val="010000"/>
        </w:rPr>
      </w:pPr>
    </w:p>
    <w:p>
      <w:pPr>
        <w:jc w:val="both"/>
        <w:ind w:firstLine="872"/>
        <w:spacing w:after="0" w:line="248" w:lineRule="auto"/>
        <w:tabs>
          <w:tab w:leader="none" w:pos="1660" w:val="left"/>
        </w:tabs>
        <w:numPr>
          <w:ilvl w:val="1"/>
          <w:numId w:val="74"/>
        </w:numPr>
        <w:rPr>
          <w:rFonts w:ascii="Arial" w:cs="Arial" w:eastAsia="Arial" w:hAnsi="Arial"/>
          <w:sz w:val="20"/>
          <w:szCs w:val="20"/>
          <w:color w:val="010000"/>
        </w:rPr>
      </w:pPr>
      <w:r>
        <w:rPr>
          <w:rFonts w:ascii="Arial" w:cs="Arial" w:eastAsia="Arial" w:hAnsi="Arial"/>
          <w:sz w:val="20"/>
          <w:szCs w:val="20"/>
          <w:b w:val="1"/>
          <w:bCs w:val="1"/>
          <w:u w:val="single" w:color="auto"/>
          <w:color w:val="auto"/>
        </w:rPr>
        <w:t>Bonus</w:t>
      </w:r>
      <w:r>
        <w:rPr>
          <w:rFonts w:ascii="Arial" w:cs="Arial" w:eastAsia="Arial" w:hAnsi="Arial"/>
          <w:sz w:val="20"/>
          <w:szCs w:val="20"/>
          <w:color w:val="auto"/>
        </w:rPr>
        <w:t>. You will be eligible to receive a cash incentive annual bonus of up to 35% of your base salary, based upon the</w:t>
      </w:r>
      <w:r>
        <w:rPr>
          <w:rFonts w:ascii="Arial" w:cs="Arial" w:eastAsia="Arial" w:hAnsi="Arial"/>
          <w:sz w:val="20"/>
          <w:szCs w:val="20"/>
          <w:b w:val="1"/>
          <w:bCs w:val="1"/>
          <w:color w:val="auto"/>
        </w:rPr>
        <w:t xml:space="preserve"> </w:t>
      </w:r>
      <w:r>
        <w:rPr>
          <w:rFonts w:ascii="Arial" w:cs="Arial" w:eastAsia="Arial" w:hAnsi="Arial"/>
          <w:sz w:val="20"/>
          <w:szCs w:val="20"/>
          <w:color w:val="auto"/>
        </w:rPr>
        <w:t>achievement of both Company and personal goals. Any annual bonus earned will be paid no later than March 15</w:t>
      </w:r>
      <w:r>
        <w:rPr>
          <w:rFonts w:ascii="Arial" w:cs="Arial" w:eastAsia="Arial" w:hAnsi="Arial"/>
          <w:sz w:val="16"/>
          <w:szCs w:val="16"/>
          <w:color w:val="auto"/>
        </w:rPr>
        <w:t>th</w:t>
      </w:r>
      <w:r>
        <w:rPr>
          <w:rFonts w:ascii="Arial" w:cs="Arial" w:eastAsia="Arial" w:hAnsi="Arial"/>
          <w:sz w:val="20"/>
          <w:szCs w:val="20"/>
          <w:color w:val="auto"/>
        </w:rPr>
        <w:t xml:space="preserve"> of the year following the year in which such bonus was earned. Please note that bonus programs, payouts and criterion are subject to change or adjustment as the business needs at the Company may require.</w:t>
      </w:r>
    </w:p>
    <w:p>
      <w:pPr>
        <w:spacing w:after="0" w:line="183" w:lineRule="exact"/>
        <w:rPr>
          <w:rFonts w:ascii="Arial" w:cs="Arial" w:eastAsia="Arial" w:hAnsi="Arial"/>
          <w:sz w:val="20"/>
          <w:szCs w:val="20"/>
          <w:color w:val="010000"/>
        </w:rPr>
      </w:pPr>
    </w:p>
    <w:p>
      <w:pPr>
        <w:ind w:firstLine="872"/>
        <w:spacing w:after="0" w:line="267" w:lineRule="auto"/>
        <w:tabs>
          <w:tab w:leader="none" w:pos="1649" w:val="left"/>
        </w:tabs>
        <w:numPr>
          <w:ilvl w:val="1"/>
          <w:numId w:val="74"/>
        </w:numPr>
        <w:rPr>
          <w:rFonts w:ascii="Arial" w:cs="Arial" w:eastAsia="Arial" w:hAnsi="Arial"/>
          <w:sz w:val="20"/>
          <w:szCs w:val="20"/>
          <w:color w:val="010000"/>
        </w:rPr>
      </w:pPr>
      <w:r>
        <w:rPr>
          <w:rFonts w:ascii="Arial" w:cs="Arial" w:eastAsia="Arial" w:hAnsi="Arial"/>
          <w:sz w:val="20"/>
          <w:szCs w:val="20"/>
          <w:b w:val="1"/>
          <w:bCs w:val="1"/>
          <w:u w:val="single" w:color="auto"/>
          <w:color w:val="auto"/>
        </w:rPr>
        <w:t>Equity Awards</w:t>
      </w:r>
      <w:r>
        <w:rPr>
          <w:rFonts w:ascii="Arial" w:cs="Arial" w:eastAsia="Arial" w:hAnsi="Arial"/>
          <w:sz w:val="20"/>
          <w:szCs w:val="20"/>
          <w:color w:val="auto"/>
        </w:rPr>
        <w:t>. You currently hold Company equity grants. You will be eligible for future discretionary equity grants at</w:t>
      </w:r>
      <w:r>
        <w:rPr>
          <w:rFonts w:ascii="Arial" w:cs="Arial" w:eastAsia="Arial" w:hAnsi="Arial"/>
          <w:sz w:val="20"/>
          <w:szCs w:val="20"/>
          <w:b w:val="1"/>
          <w:bCs w:val="1"/>
          <w:color w:val="auto"/>
        </w:rPr>
        <w:t xml:space="preserve"> </w:t>
      </w:r>
      <w:r>
        <w:rPr>
          <w:rFonts w:ascii="Arial" w:cs="Arial" w:eastAsia="Arial" w:hAnsi="Arial"/>
          <w:sz w:val="20"/>
          <w:szCs w:val="20"/>
          <w:color w:val="auto"/>
        </w:rPr>
        <w:t>the sole discretion of the Company.</w:t>
      </w:r>
    </w:p>
    <w:p>
      <w:pPr>
        <w:spacing w:after="0" w:line="163" w:lineRule="exact"/>
        <w:rPr>
          <w:rFonts w:ascii="Arial" w:cs="Arial" w:eastAsia="Arial" w:hAnsi="Arial"/>
          <w:sz w:val="20"/>
          <w:szCs w:val="20"/>
          <w:color w:val="010000"/>
        </w:rPr>
      </w:pPr>
    </w:p>
    <w:p>
      <w:pPr>
        <w:jc w:val="both"/>
        <w:ind w:firstLine="440"/>
        <w:spacing w:after="0" w:line="245" w:lineRule="auto"/>
        <w:tabs>
          <w:tab w:leader="none" w:pos="1229" w:val="left"/>
        </w:tabs>
        <w:numPr>
          <w:ilvl w:val="0"/>
          <w:numId w:val="74"/>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Employee Benefits</w:t>
      </w:r>
      <w:r>
        <w:rPr>
          <w:rFonts w:ascii="Arial" w:cs="Arial" w:eastAsia="Arial" w:hAnsi="Arial"/>
          <w:sz w:val="20"/>
          <w:szCs w:val="20"/>
          <w:color w:val="auto"/>
        </w:rPr>
        <w:t>. You will be entitled to participate in employee benefit plans currently and hereafter maintained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of general applicability to other employees of the Company subject to the eligibility requirements of each such benefit plan. The Company, in its sole discretion, may amend, suspend or terminate its employee benefits at any time, with or without notice. In addition, you will be entitled to vacation in accordance with the Company’s vacation policy, as in effect from time to time. We also acknowledge that you are a participant in, or will become a participant in, the Company’s Severance and Change in Control Plan (the “</w:t>
      </w:r>
      <w:r>
        <w:rPr>
          <w:rFonts w:ascii="Arial" w:cs="Arial" w:eastAsia="Arial" w:hAnsi="Arial"/>
          <w:sz w:val="20"/>
          <w:szCs w:val="20"/>
          <w:b w:val="1"/>
          <w:bCs w:val="1"/>
          <w:color w:val="auto"/>
        </w:rPr>
        <w:t>Severance &amp; Change in</w:t>
      </w:r>
      <w:r>
        <w:rPr>
          <w:rFonts w:ascii="Arial" w:cs="Arial" w:eastAsia="Arial" w:hAnsi="Arial"/>
          <w:sz w:val="20"/>
          <w:szCs w:val="20"/>
          <w:color w:val="auto"/>
        </w:rPr>
        <w:t xml:space="preserve"> </w:t>
      </w:r>
      <w:r>
        <w:rPr>
          <w:rFonts w:ascii="Arial" w:cs="Arial" w:eastAsia="Arial" w:hAnsi="Arial"/>
          <w:sz w:val="20"/>
          <w:szCs w:val="20"/>
          <w:b w:val="1"/>
          <w:bCs w:val="1"/>
          <w:color w:val="auto"/>
        </w:rPr>
        <w:t>Control Plan</w:t>
      </w:r>
      <w:r>
        <w:rPr>
          <w:rFonts w:ascii="Arial" w:cs="Arial" w:eastAsia="Arial" w:hAnsi="Arial"/>
          <w:sz w:val="20"/>
          <w:szCs w:val="20"/>
          <w:color w:val="auto"/>
        </w:rPr>
        <w:t>”).</w:t>
      </w:r>
    </w:p>
    <w:p>
      <w:pPr>
        <w:spacing w:after="0" w:line="184" w:lineRule="exact"/>
        <w:rPr>
          <w:rFonts w:ascii="Arial" w:cs="Arial" w:eastAsia="Arial" w:hAnsi="Arial"/>
          <w:sz w:val="20"/>
          <w:szCs w:val="20"/>
          <w:b w:val="1"/>
          <w:bCs w:val="1"/>
          <w:color w:val="010000"/>
        </w:rPr>
      </w:pPr>
    </w:p>
    <w:p>
      <w:pPr>
        <w:ind w:right="540" w:firstLine="440"/>
        <w:spacing w:after="0" w:line="267" w:lineRule="auto"/>
        <w:tabs>
          <w:tab w:leader="none" w:pos="1229" w:val="left"/>
        </w:tabs>
        <w:numPr>
          <w:ilvl w:val="0"/>
          <w:numId w:val="74"/>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By signing this letter agreement, you reaffirm the terms and conditions of the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and invention assignment agreement by and between you and the Company.</w:t>
      </w:r>
    </w:p>
    <w:p>
      <w:pPr>
        <w:spacing w:after="0" w:line="163" w:lineRule="exact"/>
        <w:rPr>
          <w:rFonts w:ascii="Arial" w:cs="Arial" w:eastAsia="Arial" w:hAnsi="Arial"/>
          <w:sz w:val="20"/>
          <w:szCs w:val="20"/>
          <w:b w:val="1"/>
          <w:bCs w:val="1"/>
          <w:color w:val="010000"/>
        </w:rPr>
      </w:pPr>
    </w:p>
    <w:p>
      <w:pPr>
        <w:jc w:val="both"/>
        <w:ind w:firstLine="440"/>
        <w:spacing w:after="0" w:line="245" w:lineRule="auto"/>
        <w:tabs>
          <w:tab w:leader="none" w:pos="1229" w:val="left"/>
        </w:tabs>
        <w:numPr>
          <w:ilvl w:val="0"/>
          <w:numId w:val="74"/>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No Conflicting Obligations</w:t>
      </w:r>
      <w:r>
        <w:rPr>
          <w:rFonts w:ascii="Arial" w:cs="Arial" w:eastAsia="Arial" w:hAnsi="Arial"/>
          <w:sz w:val="20"/>
          <w:szCs w:val="20"/>
          <w:color w:val="auto"/>
        </w:rPr>
        <w:t>. You understand and agree that by signing this letter agreement, you represent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that your performance will not breach any other 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jc w:val="both"/>
        <w:spacing w:after="0" w:line="247" w:lineRule="auto"/>
        <w:rPr>
          <w:sz w:val="20"/>
          <w:szCs w:val="20"/>
          <w:color w:val="auto"/>
        </w:rPr>
      </w:pPr>
      <w:r>
        <w:rPr>
          <w:rFonts w:ascii="Arial" w:cs="Arial" w:eastAsia="Arial" w:hAnsi="Arial"/>
          <w:sz w:val="20"/>
          <w:szCs w:val="20"/>
          <w:color w:val="auto"/>
        </w:rPr>
        <w:t>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83" w:lineRule="exact"/>
        <w:rPr>
          <w:sz w:val="20"/>
          <w:szCs w:val="20"/>
          <w:color w:val="auto"/>
        </w:rPr>
      </w:pPr>
    </w:p>
    <w:p>
      <w:pPr>
        <w:jc w:val="both"/>
        <w:ind w:firstLine="440"/>
        <w:spacing w:after="0" w:line="248" w:lineRule="auto"/>
        <w:tabs>
          <w:tab w:leader="none" w:pos="1229" w:val="left"/>
        </w:tabs>
        <w:numPr>
          <w:ilvl w:val="0"/>
          <w:numId w:val="75"/>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Outside Activities</w:t>
      </w:r>
      <w:r>
        <w:rPr>
          <w:rFonts w:ascii="Arial" w:cs="Arial" w:eastAsia="Arial" w:hAnsi="Arial"/>
          <w:sz w:val="20"/>
          <w:szCs w:val="20"/>
          <w:color w:val="auto"/>
        </w:rPr>
        <w:t>. While you render services to the Company, you agree that you will not engage in any other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83" w:lineRule="exact"/>
        <w:rPr>
          <w:rFonts w:ascii="Arial" w:cs="Arial" w:eastAsia="Arial" w:hAnsi="Arial"/>
          <w:sz w:val="20"/>
          <w:szCs w:val="20"/>
          <w:b w:val="1"/>
          <w:bCs w:val="1"/>
          <w:color w:val="010000"/>
        </w:rPr>
      </w:pPr>
    </w:p>
    <w:p>
      <w:pPr>
        <w:jc w:val="both"/>
        <w:ind w:firstLine="440"/>
        <w:spacing w:after="0" w:line="253" w:lineRule="auto"/>
        <w:tabs>
          <w:tab w:leader="none" w:pos="1229" w:val="left"/>
        </w:tabs>
        <w:numPr>
          <w:ilvl w:val="0"/>
          <w:numId w:val="75"/>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General Obligations</w:t>
      </w:r>
      <w:r>
        <w:rPr>
          <w:rFonts w:ascii="Arial" w:cs="Arial" w:eastAsia="Arial" w:hAnsi="Arial"/>
          <w:sz w:val="20"/>
          <w:szCs w:val="20"/>
          <w:color w:val="auto"/>
        </w:rPr>
        <w:t>. As an employee, you will be expected to adhere to the Company’s standards of professionalism,</w:t>
      </w:r>
      <w:r>
        <w:rPr>
          <w:rFonts w:ascii="Arial" w:cs="Arial" w:eastAsia="Arial" w:hAnsi="Arial"/>
          <w:sz w:val="20"/>
          <w:szCs w:val="20"/>
          <w:b w:val="1"/>
          <w:bCs w:val="1"/>
          <w:color w:val="auto"/>
        </w:rPr>
        <w:t xml:space="preserve"> </w:t>
      </w:r>
      <w:r>
        <w:rPr>
          <w:rFonts w:ascii="Arial" w:cs="Arial" w:eastAsia="Arial" w:hAnsi="Arial"/>
          <w:sz w:val="20"/>
          <w:szCs w:val="20"/>
          <w:color w:val="auto"/>
        </w:rPr>
        <w:t>loyalty, integrity, honesty, reliability and respect for all. You will also be expected to comply with the Company’s policies and procedures. The Company is an equal opportunity employer.</w:t>
      </w:r>
    </w:p>
    <w:p>
      <w:pPr>
        <w:spacing w:after="0" w:line="177" w:lineRule="exact"/>
        <w:rPr>
          <w:rFonts w:ascii="Arial" w:cs="Arial" w:eastAsia="Arial" w:hAnsi="Arial"/>
          <w:sz w:val="20"/>
          <w:szCs w:val="20"/>
          <w:b w:val="1"/>
          <w:bCs w:val="1"/>
          <w:color w:val="010000"/>
        </w:rPr>
      </w:pPr>
    </w:p>
    <w:p>
      <w:pPr>
        <w:jc w:val="both"/>
        <w:ind w:firstLine="440"/>
        <w:spacing w:after="0" w:line="277" w:lineRule="auto"/>
        <w:tabs>
          <w:tab w:leader="none" w:pos="1229" w:val="left"/>
        </w:tabs>
        <w:numPr>
          <w:ilvl w:val="0"/>
          <w:numId w:val="7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Employment with the Company is for no specific period of time. Your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59" w:lineRule="exact"/>
        <w:rPr>
          <w:rFonts w:ascii="Arial" w:cs="Arial" w:eastAsia="Arial" w:hAnsi="Arial"/>
          <w:sz w:val="18"/>
          <w:szCs w:val="18"/>
          <w:b w:val="1"/>
          <w:bCs w:val="1"/>
          <w:color w:val="010000"/>
        </w:rPr>
      </w:pPr>
    </w:p>
    <w:p>
      <w:pPr>
        <w:ind w:left="1240" w:hanging="800"/>
        <w:spacing w:after="0"/>
        <w:tabs>
          <w:tab w:leader="none" w:pos="1240" w:val="left"/>
        </w:tabs>
        <w:numPr>
          <w:ilvl w:val="0"/>
          <w:numId w:val="7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Withholdings</w:t>
      </w:r>
      <w:r>
        <w:rPr>
          <w:rFonts w:ascii="Arial" w:cs="Arial" w:eastAsia="Arial" w:hAnsi="Arial"/>
          <w:sz w:val="19"/>
          <w:szCs w:val="19"/>
          <w:color w:val="auto"/>
        </w:rPr>
        <w:t>. All forms of compensation paid to you as an employee of the Company shall be less all applicable</w:t>
      </w:r>
    </w:p>
    <w:p>
      <w:pPr>
        <w:spacing w:after="0" w:line="33" w:lineRule="exact"/>
        <w:rPr>
          <w:rFonts w:ascii="Arial" w:cs="Arial" w:eastAsia="Arial" w:hAnsi="Arial"/>
          <w:sz w:val="19"/>
          <w:szCs w:val="19"/>
          <w:b w:val="1"/>
          <w:bCs w:val="1"/>
          <w:color w:val="010000"/>
        </w:rPr>
      </w:pPr>
    </w:p>
    <w:p>
      <w:pPr>
        <w:spacing w:after="0"/>
        <w:rPr>
          <w:rFonts w:ascii="Arial" w:cs="Arial" w:eastAsia="Arial" w:hAnsi="Arial"/>
          <w:sz w:val="19"/>
          <w:szCs w:val="19"/>
          <w:b w:val="1"/>
          <w:bCs w:val="1"/>
          <w:color w:val="010000"/>
        </w:rPr>
      </w:pPr>
      <w:r>
        <w:rPr>
          <w:rFonts w:ascii="Arial" w:cs="Arial" w:eastAsia="Arial" w:hAnsi="Arial"/>
          <w:sz w:val="20"/>
          <w:szCs w:val="20"/>
          <w:color w:val="auto"/>
        </w:rPr>
        <w:t>withholdings.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IGNATURE</w:t>
      </w:r>
      <w:r>
        <w:rPr>
          <w:rFonts w:ascii="Arial" w:cs="Arial" w:eastAsia="Arial" w:hAnsi="Arial"/>
          <w:sz w:val="20"/>
          <w:szCs w:val="20"/>
          <w:color w:val="auto"/>
        </w:rPr>
        <w:t xml:space="preserve"> P</w:t>
      </w:r>
      <w:r>
        <w:rPr>
          <w:rFonts w:ascii="Arial" w:cs="Arial" w:eastAsia="Arial" w:hAnsi="Arial"/>
          <w:sz w:val="13"/>
          <w:szCs w:val="13"/>
          <w:color w:val="auto"/>
        </w:rPr>
        <w:t>AGE</w:t>
      </w:r>
      <w:r>
        <w:rPr>
          <w:rFonts w:ascii="Arial" w:cs="Arial" w:eastAsia="Arial" w:hAnsi="Arial"/>
          <w:sz w:val="20"/>
          <w:szCs w:val="20"/>
          <w:color w:val="auto"/>
        </w:rPr>
        <w:t xml:space="preserve"> F</w:t>
      </w:r>
      <w:r>
        <w:rPr>
          <w:rFonts w:ascii="Arial" w:cs="Arial" w:eastAsia="Arial" w:hAnsi="Arial"/>
          <w:sz w:val="13"/>
          <w:szCs w:val="13"/>
          <w:color w:val="auto"/>
        </w:rPr>
        <w:t>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jc w:val="both"/>
        <w:ind w:firstLine="432"/>
        <w:spacing w:after="0" w:line="291" w:lineRule="auto"/>
        <w:rPr>
          <w:sz w:val="20"/>
          <w:szCs w:val="20"/>
          <w:color w:val="auto"/>
        </w:rPr>
      </w:pPr>
      <w:r>
        <w:rPr>
          <w:rFonts w:ascii="Arial" w:cs="Arial" w:eastAsia="Arial" w:hAnsi="Arial"/>
          <w:sz w:val="18"/>
          <w:szCs w:val="18"/>
          <w:color w:val="auto"/>
        </w:rPr>
        <w:t>This letter agreement and the Severance &amp; Change in Control Plan supersede and replace any prior understandings or agreements, whether oral, written or implied, between you and the Company regarding the matters described in this letter, including, without limitation, the Prior Agreement. This letter will be governed by the laws of California, without regard to its conflict of laws provisions.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Christine Ring</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/s/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854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Signature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7/15/2020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854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NURIX THERAPEUTICS, INC.</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/s/ Arthur 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28460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By: Arthur Sands</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Chief Executive Officer</w:t>
      </w:r>
    </w:p>
    <w:p>
      <w:pPr>
        <w:spacing w:after="0" w:line="2661" w:lineRule="exact"/>
        <w:rPr>
          <w:sz w:val="20"/>
          <w:szCs w:val="20"/>
          <w:color w:val="auto"/>
        </w:rPr>
      </w:pPr>
    </w:p>
    <w:p>
      <w:pPr>
        <w:sectPr>
          <w:pgSz w:w="11900" w:h="16838" w:orient="portrait"/>
          <w:cols w:equalWidth="0" w:num="2">
            <w:col w:w="6040" w:space="720"/>
            <w:col w:w="4480"/>
          </w:cols>
          <w:pgMar w:left="320" w:top="122" w:right="339" w:bottom="1440"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w:t>
      </w:r>
      <w:r>
        <w:rPr>
          <w:rFonts w:ascii="Arial" w:cs="Arial" w:eastAsia="Arial" w:hAnsi="Arial"/>
          <w:sz w:val="12"/>
          <w:szCs w:val="12"/>
          <w:color w:val="auto"/>
        </w:rPr>
        <w:t>IGNATURE</w:t>
      </w:r>
      <w:r>
        <w:rPr>
          <w:rFonts w:ascii="Arial" w:cs="Arial" w:eastAsia="Arial" w:hAnsi="Arial"/>
          <w:sz w:val="19"/>
          <w:szCs w:val="19"/>
          <w:color w:val="auto"/>
        </w:rPr>
        <w:t xml:space="preserve"> P</w:t>
      </w:r>
      <w:r>
        <w:rPr>
          <w:rFonts w:ascii="Arial" w:cs="Arial" w:eastAsia="Arial" w:hAnsi="Arial"/>
          <w:sz w:val="12"/>
          <w:szCs w:val="12"/>
          <w:color w:val="auto"/>
        </w:rPr>
        <w:t>AGE TO</w:t>
      </w:r>
      <w:r>
        <w:rPr>
          <w:rFonts w:ascii="Arial" w:cs="Arial" w:eastAsia="Arial" w:hAnsi="Arial"/>
          <w:sz w:val="19"/>
          <w:szCs w:val="19"/>
          <w:color w:val="auto"/>
        </w:rPr>
        <w:t xml:space="preserve"> R</w:t>
      </w:r>
      <w:r>
        <w:rPr>
          <w:rFonts w:ascii="Arial" w:cs="Arial" w:eastAsia="Arial" w:hAnsi="Arial"/>
          <w:sz w:val="12"/>
          <w:szCs w:val="12"/>
          <w:color w:val="auto"/>
        </w:rPr>
        <w:t>ESTATED</w:t>
      </w:r>
      <w:r>
        <w:rPr>
          <w:rFonts w:ascii="Arial" w:cs="Arial" w:eastAsia="Arial" w:hAnsi="Arial"/>
          <w:sz w:val="19"/>
          <w:szCs w:val="19"/>
          <w:color w:val="auto"/>
        </w:rPr>
        <w:t xml:space="preserve"> E</w:t>
      </w:r>
      <w:r>
        <w:rPr>
          <w:rFonts w:ascii="Arial" w:cs="Arial" w:eastAsia="Arial" w:hAnsi="Arial"/>
          <w:sz w:val="12"/>
          <w:szCs w:val="12"/>
          <w:color w:val="auto"/>
        </w:rPr>
        <w:t>MPLOYMENT</w:t>
      </w:r>
      <w:r>
        <w:rPr>
          <w:rFonts w:ascii="Arial" w:cs="Arial" w:eastAsia="Arial" w:hAnsi="Arial"/>
          <w:sz w:val="19"/>
          <w:szCs w:val="19"/>
          <w:color w:val="auto"/>
        </w:rPr>
        <w:t xml:space="preserve"> A</w:t>
      </w:r>
      <w:r>
        <w:rPr>
          <w:rFonts w:ascii="Arial" w:cs="Arial" w:eastAsia="Arial" w:hAnsi="Arial"/>
          <w:sz w:val="12"/>
          <w:szCs w:val="12"/>
          <w:color w:val="auto"/>
        </w:rPr>
        <w:t>GREEMENT</w:t>
      </w:r>
      <w:r>
        <w:rPr>
          <w:rFonts w:ascii="Arial" w:cs="Arial" w:eastAsia="Arial" w:hAnsi="Arial"/>
          <w:sz w:val="19"/>
          <w:szCs w:val="19"/>
          <w:color w:val="auto"/>
        </w:rPr>
        <w:t>]</w:t>
      </w:r>
    </w:p>
    <w:p>
      <w:pPr>
        <w:sectPr>
          <w:pgSz w:w="11900" w:h="16838" w:orient="portrait"/>
          <w:cols w:equalWidth="0" w:num="1">
            <w:col w:w="11240"/>
          </w:cols>
          <w:pgMar w:left="320" w:top="122" w:right="339"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21"/>
          <w:szCs w:val="21"/>
          <w:b w:val="1"/>
          <w:bCs w:val="1"/>
          <w:color w:val="auto"/>
        </w:rPr>
        <w:t>Exhibit 10.11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 COLLABORATION AND LICENSE AGREEMENT</w:t>
      </w:r>
    </w:p>
    <w:p>
      <w:pPr>
        <w:spacing w:after="0" w:line="218"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T</w:t>
      </w:r>
      <w:r>
        <w:rPr>
          <w:rFonts w:ascii="Arial" w:cs="Arial" w:eastAsia="Arial" w:hAnsi="Arial"/>
          <w:sz w:val="14"/>
          <w:szCs w:val="14"/>
          <w:b w:val="1"/>
          <w:bCs w:val="1"/>
          <w:color w:val="auto"/>
        </w:rPr>
        <w:t>HIS</w:t>
      </w:r>
      <w:r>
        <w:rPr>
          <w:rFonts w:ascii="Arial" w:cs="Arial" w:eastAsia="Arial" w:hAnsi="Arial"/>
          <w:sz w:val="21"/>
          <w:szCs w:val="21"/>
          <w:b w:val="1"/>
          <w:bCs w:val="1"/>
          <w:color w:val="auto"/>
        </w:rPr>
        <w:t xml:space="preserve"> F</w:t>
      </w:r>
      <w:r>
        <w:rPr>
          <w:rFonts w:ascii="Arial" w:cs="Arial" w:eastAsia="Arial" w:hAnsi="Arial"/>
          <w:sz w:val="14"/>
          <w:szCs w:val="14"/>
          <w:b w:val="1"/>
          <w:bCs w:val="1"/>
          <w:color w:val="auto"/>
        </w:rPr>
        <w:t>IRST</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MENDMENT TO</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OLLABORATION AND</w:t>
      </w:r>
      <w:r>
        <w:rPr>
          <w:rFonts w:ascii="Arial" w:cs="Arial" w:eastAsia="Arial" w:hAnsi="Arial"/>
          <w:sz w:val="21"/>
          <w:szCs w:val="21"/>
          <w:b w:val="1"/>
          <w:bCs w:val="1"/>
          <w:color w:val="auto"/>
        </w:rPr>
        <w:t xml:space="preserve"> L</w:t>
      </w:r>
      <w:r>
        <w:rPr>
          <w:rFonts w:ascii="Arial" w:cs="Arial" w:eastAsia="Arial" w:hAnsi="Arial"/>
          <w:sz w:val="14"/>
          <w:szCs w:val="14"/>
          <w:b w:val="1"/>
          <w:bCs w:val="1"/>
          <w:color w:val="auto"/>
        </w:rPr>
        <w:t>ICENSE</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w:t>
      </w:r>
      <w:r>
        <w:rPr>
          <w:rFonts w:ascii="Arial" w:cs="Arial" w:eastAsia="Arial" w:hAnsi="Arial"/>
          <w:sz w:val="21"/>
          <w:szCs w:val="21"/>
          <w:b w:val="1"/>
          <w:bCs w:val="1"/>
          <w:color w:val="auto"/>
        </w:rPr>
        <w:t xml:space="preserve"> “Amendment”</w:t>
      </w:r>
      <w:r>
        <w:rPr>
          <w:rFonts w:ascii="Arial" w:cs="Arial" w:eastAsia="Arial" w:hAnsi="Arial"/>
          <w:sz w:val="21"/>
          <w:szCs w:val="21"/>
          <w:color w:val="auto"/>
        </w:rPr>
        <w:t>) is entered into as of January 6,</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2021 (the </w:t>
      </w:r>
      <w:r>
        <w:rPr>
          <w:rFonts w:ascii="Arial" w:cs="Arial" w:eastAsia="Arial" w:hAnsi="Arial"/>
          <w:sz w:val="21"/>
          <w:szCs w:val="21"/>
          <w:b w:val="1"/>
          <w:bCs w:val="1"/>
          <w:color w:val="auto"/>
        </w:rPr>
        <w:t>“Amendment Date”</w:t>
      </w:r>
      <w:r>
        <w:rPr>
          <w:rFonts w:ascii="Arial" w:cs="Arial" w:eastAsia="Arial" w:hAnsi="Arial"/>
          <w:sz w:val="21"/>
          <w:szCs w:val="21"/>
          <w:color w:val="auto"/>
        </w:rPr>
        <w:t>) by and between Genzyme Corporation, a Massachusetts corporation (“</w:t>
      </w:r>
      <w:r>
        <w:rPr>
          <w:rFonts w:ascii="Arial" w:cs="Arial" w:eastAsia="Arial" w:hAnsi="Arial"/>
          <w:sz w:val="21"/>
          <w:szCs w:val="21"/>
          <w:b w:val="1"/>
          <w:bCs w:val="1"/>
          <w:color w:val="auto"/>
        </w:rPr>
        <w:t>Sanofi</w:t>
      </w:r>
      <w:r>
        <w:rPr>
          <w:rFonts w:ascii="Arial" w:cs="Arial" w:eastAsia="Arial" w:hAnsi="Arial"/>
          <w:sz w:val="21"/>
          <w:szCs w:val="21"/>
          <w:color w:val="auto"/>
        </w:rPr>
        <w:t>”), and Nurix Therapeutics, Inc., a Delaware corporation (“</w:t>
      </w:r>
      <w:r>
        <w:rPr>
          <w:rFonts w:ascii="Arial" w:cs="Arial" w:eastAsia="Arial" w:hAnsi="Arial"/>
          <w:sz w:val="21"/>
          <w:szCs w:val="21"/>
          <w:b w:val="1"/>
          <w:bCs w:val="1"/>
          <w:color w:val="auto"/>
        </w:rPr>
        <w:t>Nurix</w:t>
      </w:r>
      <w:r>
        <w:rPr>
          <w:rFonts w:ascii="Arial" w:cs="Arial" w:eastAsia="Arial" w:hAnsi="Arial"/>
          <w:sz w:val="21"/>
          <w:szCs w:val="21"/>
          <w:color w:val="auto"/>
        </w:rPr>
        <w:t>”). Sanofi and Nurix are each referred to herein by name or, individually, as a “</w:t>
      </w:r>
      <w:r>
        <w:rPr>
          <w:rFonts w:ascii="Arial" w:cs="Arial" w:eastAsia="Arial" w:hAnsi="Arial"/>
          <w:sz w:val="21"/>
          <w:szCs w:val="21"/>
          <w:b w:val="1"/>
          <w:bCs w:val="1"/>
          <w:color w:val="auto"/>
        </w:rPr>
        <w:t>Party</w:t>
      </w:r>
      <w:r>
        <w:rPr>
          <w:rFonts w:ascii="Arial" w:cs="Arial" w:eastAsia="Arial" w:hAnsi="Arial"/>
          <w:sz w:val="21"/>
          <w:szCs w:val="21"/>
          <w:color w:val="auto"/>
        </w:rPr>
        <w:t>” or,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4"/>
          <w:szCs w:val="14"/>
          <w:b w:val="1"/>
          <w:bCs w:val="1"/>
          <w:color w:val="auto"/>
        </w:rPr>
        <w:t>ECITALS</w:t>
      </w:r>
    </w:p>
    <w:p>
      <w:pPr>
        <w:spacing w:after="0" w:line="21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4"/>
          <w:szCs w:val="14"/>
          <w:b w:val="1"/>
          <w:bCs w:val="1"/>
          <w:color w:val="auto"/>
        </w:rPr>
        <w:t>HEREAS</w:t>
      </w:r>
      <w:r>
        <w:rPr>
          <w:rFonts w:ascii="Arial" w:cs="Arial" w:eastAsia="Arial" w:hAnsi="Arial"/>
          <w:sz w:val="21"/>
          <w:szCs w:val="21"/>
          <w:color w:val="auto"/>
        </w:rPr>
        <w:t>, the Parties entered into that certain Collaboration and License Agreement (the “</w:t>
      </w:r>
      <w:r>
        <w:rPr>
          <w:rFonts w:ascii="Arial" w:cs="Arial" w:eastAsia="Arial" w:hAnsi="Arial"/>
          <w:sz w:val="21"/>
          <w:szCs w:val="21"/>
          <w:b w:val="1"/>
          <w:bCs w:val="1"/>
          <w:color w:val="auto"/>
        </w:rPr>
        <w:t>Agreement</w:t>
      </w:r>
      <w:r>
        <w:rPr>
          <w:rFonts w:ascii="Arial" w:cs="Arial" w:eastAsia="Arial" w:hAnsi="Arial"/>
          <w:sz w:val="21"/>
          <w:szCs w:val="21"/>
          <w:color w:val="auto"/>
        </w:rPr>
        <w:t>”), dated December</w:t>
      </w:r>
      <w:r>
        <w:rPr>
          <w:rFonts w:ascii="Arial" w:cs="Arial" w:eastAsia="Arial" w:hAnsi="Arial"/>
          <w:sz w:val="21"/>
          <w:szCs w:val="21"/>
          <w:b w:val="1"/>
          <w:bCs w:val="1"/>
          <w:color w:val="auto"/>
        </w:rPr>
        <w:t xml:space="preserve"> </w:t>
      </w:r>
      <w:r>
        <w:rPr>
          <w:rFonts w:ascii="Arial" w:cs="Arial" w:eastAsia="Arial" w:hAnsi="Arial"/>
          <w:sz w:val="21"/>
          <w:szCs w:val="21"/>
          <w:color w:val="auto"/>
        </w:rPr>
        <w:t>19, 2019; and</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color w:val="auto"/>
        </w:rPr>
        <w:t>, the Parties wish to amend the Agreement to modify certain terms and conditions thereof as further described</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herein.</w:t>
      </w:r>
    </w:p>
    <w:p>
      <w:pPr>
        <w:spacing w:after="0" w:line="194"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b w:val="1"/>
          <w:bCs w:val="1"/>
          <w:color w:val="auto"/>
        </w:rPr>
        <w:t>N</w:t>
      </w:r>
      <w:r>
        <w:rPr>
          <w:rFonts w:ascii="Arial" w:cs="Arial" w:eastAsia="Arial" w:hAnsi="Arial"/>
          <w:sz w:val="14"/>
          <w:szCs w:val="14"/>
          <w:b w:val="1"/>
          <w:bCs w:val="1"/>
          <w:color w:val="auto"/>
        </w:rPr>
        <w:t>OW</w:t>
      </w:r>
      <w:r>
        <w:rPr>
          <w:rFonts w:ascii="Arial" w:cs="Arial" w:eastAsia="Arial" w:hAnsi="Arial"/>
          <w:sz w:val="21"/>
          <w:szCs w:val="21"/>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21"/>
          <w:szCs w:val="21"/>
          <w:color w:val="auto"/>
        </w:rPr>
        <w:t>, in consideration of the foregoing premises and the mutual promises, covenants and conditions contained</w:t>
      </w:r>
      <w:r>
        <w:rPr>
          <w:rFonts w:ascii="Arial" w:cs="Arial" w:eastAsia="Arial" w:hAnsi="Arial"/>
          <w:sz w:val="21"/>
          <w:szCs w:val="21"/>
          <w:b w:val="1"/>
          <w:bCs w:val="1"/>
          <w:color w:val="auto"/>
        </w:rPr>
        <w:t xml:space="preserve"> </w:t>
      </w:r>
      <w:r>
        <w:rPr>
          <w:rFonts w:ascii="Arial" w:cs="Arial" w:eastAsia="Arial" w:hAnsi="Arial"/>
          <w:sz w:val="21"/>
          <w:szCs w:val="21"/>
          <w:color w:val="auto"/>
        </w:rPr>
        <w:t>in this Amendment, in accordance with Section 18.5 of the Agreement, the Parties agree as follows:</w:t>
      </w:r>
    </w:p>
    <w:p>
      <w:pPr>
        <w:spacing w:after="0" w:line="159" w:lineRule="exact"/>
        <w:rPr>
          <w:sz w:val="20"/>
          <w:szCs w:val="20"/>
          <w:color w:val="auto"/>
        </w:rPr>
      </w:pPr>
    </w:p>
    <w:p>
      <w:pPr>
        <w:ind w:firstLine="872"/>
        <w:spacing w:after="0" w:line="270" w:lineRule="auto"/>
        <w:tabs>
          <w:tab w:leader="none" w:pos="1667"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color w:val="auto"/>
        </w:rPr>
        <w:t>Defined Terms</w:t>
      </w:r>
      <w:r>
        <w:rPr>
          <w:rFonts w:ascii="Arial" w:cs="Arial" w:eastAsia="Arial" w:hAnsi="Arial"/>
          <w:sz w:val="21"/>
          <w:szCs w:val="21"/>
          <w:color w:val="auto"/>
        </w:rPr>
        <w:t>. As used in this Amendment, capitalized terms, whether used in the singular or plural form, that</w:t>
      </w:r>
      <w:r>
        <w:rPr>
          <w:rFonts w:ascii="Arial" w:cs="Arial" w:eastAsia="Arial" w:hAnsi="Arial"/>
          <w:sz w:val="21"/>
          <w:szCs w:val="21"/>
          <w:b w:val="1"/>
          <w:bCs w:val="1"/>
          <w:color w:val="auto"/>
        </w:rPr>
        <w:t xml:space="preserve"> </w:t>
      </w:r>
      <w:r>
        <w:rPr>
          <w:rFonts w:ascii="Arial" w:cs="Arial" w:eastAsia="Arial" w:hAnsi="Arial"/>
          <w:sz w:val="21"/>
          <w:szCs w:val="21"/>
          <w:color w:val="auto"/>
        </w:rPr>
        <w:t>are capitalized but not defined herein shall have the meanings ascribed to such terms in the Agreement.</w:t>
      </w:r>
    </w:p>
    <w:p>
      <w:pPr>
        <w:spacing w:after="0" w:line="158" w:lineRule="exact"/>
        <w:rPr>
          <w:rFonts w:ascii="Arial" w:cs="Arial" w:eastAsia="Arial" w:hAnsi="Arial"/>
          <w:sz w:val="21"/>
          <w:szCs w:val="21"/>
          <w:b w:val="1"/>
          <w:bCs w:val="1"/>
          <w:color w:val="auto"/>
        </w:rPr>
      </w:pPr>
    </w:p>
    <w:p>
      <w:pPr>
        <w:ind w:left="1680" w:hanging="808"/>
        <w:spacing w:after="0"/>
        <w:tabs>
          <w:tab w:leader="none" w:pos="1680"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color w:val="auto"/>
        </w:rPr>
        <w:t>Amendments.</w:t>
      </w:r>
    </w:p>
    <w:p>
      <w:pPr>
        <w:spacing w:after="0" w:line="223" w:lineRule="exact"/>
        <w:rPr>
          <w:rFonts w:ascii="Arial" w:cs="Arial" w:eastAsia="Arial" w:hAnsi="Arial"/>
          <w:sz w:val="21"/>
          <w:szCs w:val="21"/>
          <w:b w:val="1"/>
          <w:bCs w:val="1"/>
          <w:color w:val="auto"/>
        </w:rPr>
      </w:pPr>
    </w:p>
    <w:p>
      <w:pPr>
        <w:ind w:left="2620" w:hanging="885"/>
        <w:spacing w:after="0"/>
        <w:tabs>
          <w:tab w:leader="none" w:pos="2620" w:val="left"/>
        </w:tabs>
        <w:numPr>
          <w:ilvl w:val="1"/>
          <w:numId w:val="76"/>
        </w:numPr>
        <w:rPr>
          <w:rFonts w:ascii="Arial" w:cs="Arial" w:eastAsia="Arial" w:hAnsi="Arial"/>
          <w:sz w:val="19"/>
          <w:szCs w:val="19"/>
          <w:b w:val="1"/>
          <w:bCs w:val="1"/>
          <w:color w:val="auto"/>
        </w:rPr>
      </w:pPr>
      <w:r>
        <w:rPr>
          <w:rFonts w:ascii="Arial" w:cs="Arial" w:eastAsia="Arial" w:hAnsi="Arial"/>
          <w:sz w:val="20"/>
          <w:szCs w:val="20"/>
          <w:color w:val="auto"/>
        </w:rPr>
        <w:t>Section 1.44 of the Agreement is hereby deleted in its entirety and replaced with the following:</w:t>
      </w:r>
    </w:p>
    <w:p>
      <w:pPr>
        <w:spacing w:after="0" w:line="223" w:lineRule="exact"/>
        <w:rPr>
          <w:sz w:val="20"/>
          <w:szCs w:val="20"/>
          <w:color w:val="auto"/>
        </w:rPr>
      </w:pPr>
    </w:p>
    <w:p>
      <w:pPr>
        <w:jc w:val="both"/>
        <w:ind w:left="880" w:firstLine="797"/>
        <w:spacing w:after="0" w:line="260" w:lineRule="auto"/>
        <w:rPr>
          <w:sz w:val="20"/>
          <w:szCs w:val="20"/>
          <w:color w:val="auto"/>
        </w:rPr>
      </w:pPr>
      <w:r>
        <w:rPr>
          <w:rFonts w:ascii="Arial" w:cs="Arial" w:eastAsia="Arial" w:hAnsi="Arial"/>
          <w:sz w:val="20"/>
          <w:szCs w:val="20"/>
          <w:color w:val="auto"/>
        </w:rPr>
        <w:t>1.44 “</w:t>
      </w:r>
      <w:r>
        <w:rPr>
          <w:rFonts w:ascii="Arial" w:cs="Arial" w:eastAsia="Arial" w:hAnsi="Arial"/>
          <w:sz w:val="20"/>
          <w:szCs w:val="20"/>
          <w:b w:val="1"/>
          <w:bCs w:val="1"/>
          <w:color w:val="auto"/>
        </w:rPr>
        <w:t>Collaboration Target Research Term</w:t>
      </w:r>
      <w:r>
        <w:rPr>
          <w:rFonts w:ascii="Arial" w:cs="Arial" w:eastAsia="Arial" w:hAnsi="Arial"/>
          <w:sz w:val="20"/>
          <w:szCs w:val="20"/>
          <w:color w:val="auto"/>
        </w:rPr>
        <w:t>” means, on a Collaboration Target-by-Collaboration Target basis, the period of time beginning (a) with respect to Initial Collaboration Targets, the Effective Date, and (b) with respect to Available Targets or Reserved Targets that become Collaboration Targets in accordance with Section 2.2.2 (Additional Collaboration Targets) or Section 2.2.3 (Collaboration Target Substitution Right), the date that such Available Targets or Reserved Targets become Collaboration Targets (as further described therein), and in each case (a) and (b), ending [*], provided that, notwithstanding the foregoing, each such period of time shall automatically expire upon the expiration of the Research Term unless otherwise mutually agreed in writing by the Parties.</w:t>
      </w:r>
    </w:p>
    <w:p>
      <w:pPr>
        <w:spacing w:after="0" w:line="179" w:lineRule="exact"/>
        <w:rPr>
          <w:sz w:val="20"/>
          <w:szCs w:val="20"/>
          <w:color w:val="auto"/>
        </w:rPr>
      </w:pPr>
    </w:p>
    <w:p>
      <w:pPr>
        <w:ind w:left="2620" w:hanging="885"/>
        <w:spacing w:after="0"/>
        <w:tabs>
          <w:tab w:leader="none" w:pos="2620" w:val="left"/>
        </w:tabs>
        <w:numPr>
          <w:ilvl w:val="0"/>
          <w:numId w:val="77"/>
        </w:numPr>
        <w:rPr>
          <w:rFonts w:ascii="Arial" w:cs="Arial" w:eastAsia="Arial" w:hAnsi="Arial"/>
          <w:sz w:val="19"/>
          <w:szCs w:val="19"/>
          <w:b w:val="1"/>
          <w:bCs w:val="1"/>
          <w:color w:val="auto"/>
        </w:rPr>
      </w:pPr>
      <w:r>
        <w:rPr>
          <w:rFonts w:ascii="Arial" w:cs="Arial" w:eastAsia="Arial" w:hAnsi="Arial"/>
          <w:sz w:val="20"/>
          <w:szCs w:val="20"/>
          <w:color w:val="auto"/>
        </w:rPr>
        <w:t>Section 1.193 of the Agreement is hereby deleted in its entirety and replaced with the following:</w:t>
      </w:r>
    </w:p>
    <w:p>
      <w:pPr>
        <w:spacing w:after="0" w:line="223" w:lineRule="exact"/>
        <w:rPr>
          <w:sz w:val="20"/>
          <w:szCs w:val="20"/>
          <w:color w:val="auto"/>
        </w:rPr>
      </w:pPr>
    </w:p>
    <w:p>
      <w:pPr>
        <w:ind w:left="880" w:firstLine="797"/>
        <w:spacing w:after="0" w:line="270" w:lineRule="auto"/>
        <w:rPr>
          <w:sz w:val="20"/>
          <w:szCs w:val="20"/>
          <w:color w:val="auto"/>
        </w:rPr>
      </w:pPr>
      <w:r>
        <w:rPr>
          <w:rFonts w:ascii="Arial" w:cs="Arial" w:eastAsia="Arial" w:hAnsi="Arial"/>
          <w:sz w:val="21"/>
          <w:szCs w:val="21"/>
          <w:color w:val="auto"/>
        </w:rPr>
        <w:t>1.193 “</w:t>
      </w:r>
      <w:r>
        <w:rPr>
          <w:rFonts w:ascii="Arial" w:cs="Arial" w:eastAsia="Arial" w:hAnsi="Arial"/>
          <w:sz w:val="21"/>
          <w:szCs w:val="21"/>
          <w:b w:val="1"/>
          <w:bCs w:val="1"/>
          <w:color w:val="auto"/>
        </w:rPr>
        <w:t>Research Term</w:t>
      </w:r>
      <w:r>
        <w:rPr>
          <w:rFonts w:ascii="Arial" w:cs="Arial" w:eastAsia="Arial" w:hAnsi="Arial"/>
          <w:sz w:val="21"/>
          <w:szCs w:val="21"/>
          <w:color w:val="auto"/>
        </w:rPr>
        <w:t>” means the period of time beginning on the Effective Date and ending [*] in accordance with Section 2.1.2 (Collaboration Target Research Term Extension).</w:t>
      </w:r>
    </w:p>
    <w:p>
      <w:pPr>
        <w:spacing w:after="0" w:line="192" w:lineRule="exact"/>
        <w:rPr>
          <w:sz w:val="20"/>
          <w:szCs w:val="20"/>
          <w:color w:val="auto"/>
        </w:rPr>
      </w:pPr>
    </w:p>
    <w:p>
      <w:pPr>
        <w:ind w:left="2600" w:hanging="865"/>
        <w:spacing w:after="0"/>
        <w:tabs>
          <w:tab w:leader="none" w:pos="2600" w:val="left"/>
        </w:tabs>
        <w:numPr>
          <w:ilvl w:val="0"/>
          <w:numId w:val="78"/>
        </w:numPr>
        <w:rPr>
          <w:rFonts w:ascii="Arial" w:cs="Arial" w:eastAsia="Arial" w:hAnsi="Arial"/>
          <w:sz w:val="19"/>
          <w:szCs w:val="19"/>
          <w:b w:val="1"/>
          <w:bCs w:val="1"/>
          <w:color w:val="auto"/>
        </w:rPr>
      </w:pPr>
      <w:r>
        <w:rPr>
          <w:rFonts w:ascii="Arial" w:cs="Arial" w:eastAsia="Arial" w:hAnsi="Arial"/>
          <w:sz w:val="20"/>
          <w:szCs w:val="20"/>
          <w:color w:val="auto"/>
        </w:rPr>
        <w:t>Section 2.1.2 of the Agreement is hereby deleted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1" w:name="page162"/>
    <w:bookmarkEnd w:id="161"/>
    <w:p>
      <w:pPr>
        <w:jc w:val="both"/>
        <w:ind w:left="880" w:firstLine="797"/>
        <w:spacing w:after="0" w:line="257"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Collaboration Target Research Term Extension</w:t>
      </w:r>
      <w:r>
        <w:rPr>
          <w:rFonts w:ascii="Arial" w:cs="Arial" w:eastAsia="Arial" w:hAnsi="Arial"/>
          <w:sz w:val="20"/>
          <w:szCs w:val="20"/>
          <w:color w:val="auto"/>
        </w:rPr>
        <w:t>. Sanofi shall have the right to extend the Collaboration Target Research Term of any Collaboration Target that would, but for the maximum [*] Research Term and assuming a full [*] duration thereof, expire after the [*] of the Effective Date in accordance with this Section 2.1.2 (Collaboration Target Research Term Extension). Sanofi may extend such Collaboration Target Research Term (i) by delivery of written notice at least [*] days prior to the [*] anniversary of the Effective Date, and (ii) for a period of time expiring upon the earlier of either (x) the remainder of the applicable [*] Collaboration Target Research Term, or (y) the [*] anniversary of the Effective Date. In such case and on a Calendar Quarterly basis [*], in each case (a) that are [*] by Nurix after the [*] of the Effective Date and before the end of the applicable extended Collaboration Target Research Term, (b) required in order for Nurix to perform its Research activities under the applicable Research Plan(s), and (c) [*] by Nurix pursuant to a Research [*] that has been [*]. Following the end of each applicable Calendar Quarter, [*].</w:t>
      </w:r>
    </w:p>
    <w:p>
      <w:pPr>
        <w:spacing w:after="0" w:line="183" w:lineRule="exact"/>
        <w:rPr>
          <w:sz w:val="20"/>
          <w:szCs w:val="20"/>
          <w:color w:val="auto"/>
        </w:rPr>
      </w:pPr>
    </w:p>
    <w:p>
      <w:pPr>
        <w:ind w:left="2620" w:hanging="885"/>
        <w:spacing w:after="0"/>
        <w:tabs>
          <w:tab w:leader="none" w:pos="2620" w:val="left"/>
        </w:tabs>
        <w:numPr>
          <w:ilvl w:val="0"/>
          <w:numId w:val="79"/>
        </w:numPr>
        <w:rPr>
          <w:rFonts w:ascii="Arial" w:cs="Arial" w:eastAsia="Arial" w:hAnsi="Arial"/>
          <w:sz w:val="19"/>
          <w:szCs w:val="19"/>
          <w:b w:val="1"/>
          <w:bCs w:val="1"/>
          <w:color w:val="auto"/>
        </w:rPr>
      </w:pPr>
      <w:r>
        <w:rPr>
          <w:rFonts w:ascii="Arial" w:cs="Arial" w:eastAsia="Arial" w:hAnsi="Arial"/>
          <w:sz w:val="20"/>
          <w:szCs w:val="20"/>
          <w:color w:val="auto"/>
        </w:rPr>
        <w:t>Section 2.2.3 of the Agreement is hereby deleted in its entirety and replaced with the following:</w:t>
      </w:r>
    </w:p>
    <w:p>
      <w:pPr>
        <w:spacing w:after="0" w:line="229" w:lineRule="exact"/>
        <w:rPr>
          <w:sz w:val="20"/>
          <w:szCs w:val="20"/>
          <w:color w:val="auto"/>
        </w:rPr>
      </w:pPr>
    </w:p>
    <w:p>
      <w:pPr>
        <w:jc w:val="both"/>
        <w:ind w:left="880" w:firstLine="797"/>
        <w:spacing w:after="0" w:line="271" w:lineRule="auto"/>
        <w:rPr>
          <w:sz w:val="20"/>
          <w:szCs w:val="20"/>
          <w:color w:val="auto"/>
        </w:rPr>
      </w:pPr>
      <w:r>
        <w:rPr>
          <w:rFonts w:ascii="Arial" w:cs="Arial" w:eastAsia="Arial" w:hAnsi="Arial"/>
          <w:sz w:val="19"/>
          <w:szCs w:val="19"/>
          <w:color w:val="auto"/>
        </w:rPr>
        <w:t xml:space="preserve">2.2.3 </w:t>
      </w:r>
      <w:r>
        <w:rPr>
          <w:rFonts w:ascii="Arial" w:cs="Arial" w:eastAsia="Arial" w:hAnsi="Arial"/>
          <w:sz w:val="19"/>
          <w:szCs w:val="19"/>
          <w:u w:val="single" w:color="auto"/>
          <w:color w:val="auto"/>
        </w:rPr>
        <w:t>Collaboration Target Substitution Right</w:t>
      </w:r>
      <w:r>
        <w:rPr>
          <w:rFonts w:ascii="Arial" w:cs="Arial" w:eastAsia="Arial" w:hAnsi="Arial"/>
          <w:sz w:val="19"/>
          <w:szCs w:val="19"/>
          <w:color w:val="auto"/>
        </w:rPr>
        <w:t>. On a Collaboration Target-by-Collaboration Target basis, during the period of time beginning on the first day of the Collaboration Target Research Term for such Collaboration Target and [*] (such time period the “</w:t>
      </w:r>
      <w:r>
        <w:rPr>
          <w:rFonts w:ascii="Arial" w:cs="Arial" w:eastAsia="Arial" w:hAnsi="Arial"/>
          <w:sz w:val="19"/>
          <w:szCs w:val="19"/>
          <w:b w:val="1"/>
          <w:bCs w:val="1"/>
          <w:color w:val="auto"/>
        </w:rPr>
        <w:t>Collaboration Target Substitution Period</w:t>
      </w:r>
      <w:r>
        <w:rPr>
          <w:rFonts w:ascii="Arial" w:cs="Arial" w:eastAsia="Arial" w:hAnsi="Arial"/>
          <w:sz w:val="19"/>
          <w:szCs w:val="19"/>
          <w:color w:val="auto"/>
        </w:rPr>
        <w:t>”), Sanofi shall have the right, for any reason and at no cost to Sanofi, to substitute such Collaboration Target (a) for a Reserved Target upon delivery of written notice to Nurix’s Alliance Manager prior to the expiration of the applicable Collaboration Target Substitution Period, or (b) subject to Section 2.4 (Proposed Targets), for an Available Target (collectively, the “</w:t>
      </w:r>
      <w:r>
        <w:rPr>
          <w:rFonts w:ascii="Arial" w:cs="Arial" w:eastAsia="Arial" w:hAnsi="Arial"/>
          <w:sz w:val="19"/>
          <w:szCs w:val="19"/>
          <w:b w:val="1"/>
          <w:bCs w:val="1"/>
          <w:color w:val="auto"/>
        </w:rPr>
        <w:t>Collaboration Target Substitution Right</w:t>
      </w:r>
      <w:r>
        <w:rPr>
          <w:rFonts w:ascii="Arial" w:cs="Arial" w:eastAsia="Arial" w:hAnsi="Arial"/>
          <w:sz w:val="19"/>
          <w:szCs w:val="19"/>
          <w:color w:val="auto"/>
        </w:rPr>
        <w:t>”) (each such Collaboration Target that is replaced by a Reserved Target or Available Target thereafter a “</w:t>
      </w:r>
      <w:r>
        <w:rPr>
          <w:rFonts w:ascii="Arial" w:cs="Arial" w:eastAsia="Arial" w:hAnsi="Arial"/>
          <w:sz w:val="19"/>
          <w:szCs w:val="19"/>
          <w:b w:val="1"/>
          <w:bCs w:val="1"/>
          <w:color w:val="auto"/>
        </w:rPr>
        <w:t>Replaced Collaboration</w:t>
      </w:r>
      <w:r>
        <w:rPr>
          <w:rFonts w:ascii="Arial" w:cs="Arial" w:eastAsia="Arial" w:hAnsi="Arial"/>
          <w:sz w:val="19"/>
          <w:szCs w:val="19"/>
          <w:color w:val="auto"/>
        </w:rPr>
        <w:t xml:space="preserve"> </w:t>
      </w:r>
      <w:r>
        <w:rPr>
          <w:rFonts w:ascii="Arial" w:cs="Arial" w:eastAsia="Arial" w:hAnsi="Arial"/>
          <w:sz w:val="19"/>
          <w:szCs w:val="19"/>
          <w:b w:val="1"/>
          <w:bCs w:val="1"/>
          <w:color w:val="auto"/>
        </w:rPr>
        <w:t>Target</w:t>
      </w:r>
      <w:r>
        <w:rPr>
          <w:rFonts w:ascii="Arial" w:cs="Arial" w:eastAsia="Arial" w:hAnsi="Arial"/>
          <w:sz w:val="19"/>
          <w:szCs w:val="19"/>
          <w:color w:val="auto"/>
        </w:rPr>
        <w:t>” and each such new Collaboration Target that is substituted for the Replaced Collaboration Target, a “</w:t>
      </w:r>
      <w:r>
        <w:rPr>
          <w:rFonts w:ascii="Arial" w:cs="Arial" w:eastAsia="Arial" w:hAnsi="Arial"/>
          <w:sz w:val="19"/>
          <w:szCs w:val="19"/>
          <w:b w:val="1"/>
          <w:bCs w:val="1"/>
          <w:color w:val="auto"/>
        </w:rPr>
        <w:t>Substituted Collaboration Target</w:t>
      </w:r>
      <w:r>
        <w:rPr>
          <w:rFonts w:ascii="Arial" w:cs="Arial" w:eastAsia="Arial" w:hAnsi="Arial"/>
          <w:sz w:val="19"/>
          <w:szCs w:val="19"/>
          <w:color w:val="auto"/>
        </w:rPr>
        <w:t>”), provided, however, that (x) there will in no event be more than five (5) Collaboration Targets in</w:t>
      </w:r>
      <w:r>
        <w:rPr>
          <w:rFonts w:ascii="Arial" w:cs="Arial" w:eastAsia="Arial" w:hAnsi="Arial"/>
          <w:sz w:val="19"/>
          <w:szCs w:val="19"/>
          <w:b w:val="1"/>
          <w:bCs w:val="1"/>
          <w:color w:val="auto"/>
        </w:rPr>
        <w:t xml:space="preserve"> </w:t>
      </w:r>
      <w:r>
        <w:rPr>
          <w:rFonts w:ascii="Arial" w:cs="Arial" w:eastAsia="Arial" w:hAnsi="Arial"/>
          <w:sz w:val="19"/>
          <w:szCs w:val="19"/>
          <w:color w:val="auto"/>
        </w:rPr>
        <w:t>total under this Agreement at any time during the Research Term, (y) at any given time during the Research Term, there will be no more than five (5) Research Programs with Collaboration Targets then ongoing, and (z) Sanofi shall only have the right to exercise its Collaboration Target Substitution Right [*] per Collaboration Target for [*], after which Sanofi shall no longer have the right to exercise its Collaboration Target Substitution Right.</w:t>
      </w:r>
    </w:p>
    <w:p>
      <w:pPr>
        <w:spacing w:after="0" w:line="162" w:lineRule="exact"/>
        <w:rPr>
          <w:sz w:val="20"/>
          <w:szCs w:val="20"/>
          <w:color w:val="auto"/>
        </w:rPr>
      </w:pPr>
    </w:p>
    <w:p>
      <w:pPr>
        <w:ind w:left="1680" w:hanging="808"/>
        <w:spacing w:after="0"/>
        <w:tabs>
          <w:tab w:leader="none" w:pos="1680"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r>
        <w:rPr>
          <w:rFonts w:ascii="Arial" w:cs="Arial" w:eastAsia="Arial" w:hAnsi="Arial"/>
          <w:sz w:val="21"/>
          <w:szCs w:val="21"/>
          <w:color w:val="auto"/>
        </w:rPr>
        <w:t>.</w:t>
      </w:r>
    </w:p>
    <w:p>
      <w:pPr>
        <w:spacing w:after="0" w:line="217" w:lineRule="exact"/>
        <w:rPr>
          <w:rFonts w:ascii="Arial" w:cs="Arial" w:eastAsia="Arial" w:hAnsi="Arial"/>
          <w:sz w:val="21"/>
          <w:szCs w:val="21"/>
          <w:b w:val="1"/>
          <w:bCs w:val="1"/>
          <w:color w:val="auto"/>
        </w:rPr>
      </w:pPr>
    </w:p>
    <w:p>
      <w:pPr>
        <w:jc w:val="both"/>
        <w:ind w:firstLine="1735"/>
        <w:spacing w:after="0" w:line="251" w:lineRule="auto"/>
        <w:tabs>
          <w:tab w:leader="none" w:pos="2606" w:val="left"/>
        </w:tabs>
        <w:numPr>
          <w:ilvl w:val="1"/>
          <w:numId w:val="80"/>
        </w:numPr>
        <w:rPr>
          <w:rFonts w:ascii="Arial" w:cs="Arial" w:eastAsia="Arial" w:hAnsi="Arial"/>
          <w:sz w:val="20"/>
          <w:szCs w:val="20"/>
          <w:b w:val="1"/>
          <w:bCs w:val="1"/>
          <w:color w:val="auto"/>
        </w:rPr>
      </w:pPr>
      <w:r>
        <w:rPr>
          <w:rFonts w:ascii="Arial" w:cs="Arial" w:eastAsia="Arial" w:hAnsi="Arial"/>
          <w:sz w:val="21"/>
          <w:szCs w:val="21"/>
          <w:b w:val="1"/>
          <w:bCs w:val="1"/>
          <w:color w:val="auto"/>
        </w:rPr>
        <w:t xml:space="preserve">No Other Amendments. </w:t>
      </w:r>
      <w:r>
        <w:rPr>
          <w:rFonts w:ascii="Arial" w:cs="Arial" w:eastAsia="Arial" w:hAnsi="Arial"/>
          <w:sz w:val="21"/>
          <w:szCs w:val="21"/>
          <w:color w:val="auto"/>
        </w:rPr>
        <w:t>This Amendment shall be deemed to be a part of and incorporated into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In the event of a conflict between this Amendment and the Agreement, this Amendment shall control. Except as expressly set forth in this Amendment, all of the terms and conditions of the Agreement shall remain unchanged and are ratified and confirmed in all respects and remain in full force and effect.</w:t>
      </w:r>
    </w:p>
    <w:p>
      <w:pPr>
        <w:spacing w:after="0" w:line="177" w:lineRule="exact"/>
        <w:rPr>
          <w:rFonts w:ascii="Arial" w:cs="Arial" w:eastAsia="Arial" w:hAnsi="Arial"/>
          <w:sz w:val="20"/>
          <w:szCs w:val="20"/>
          <w:b w:val="1"/>
          <w:bCs w:val="1"/>
          <w:color w:val="auto"/>
        </w:rPr>
      </w:pPr>
    </w:p>
    <w:p>
      <w:pPr>
        <w:jc w:val="both"/>
        <w:ind w:firstLine="1735"/>
        <w:spacing w:after="0" w:line="255" w:lineRule="auto"/>
        <w:tabs>
          <w:tab w:leader="none" w:pos="2617" w:val="left"/>
        </w:tabs>
        <w:numPr>
          <w:ilvl w:val="1"/>
          <w:numId w:val="80"/>
        </w:numPr>
        <w:rPr>
          <w:rFonts w:ascii="Arial" w:cs="Arial" w:eastAsia="Arial" w:hAnsi="Arial"/>
          <w:sz w:val="20"/>
          <w:szCs w:val="20"/>
          <w:b w:val="1"/>
          <w:bCs w:val="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Amendment, together with the Agreement and any exhibits or attachments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thereto, contains the entire agreement by the Parties with respect to the subject matter hereof, and any reference to the Agreement shall refer to the Agreement, as amended by this Amendment.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62" w:name="page163"/>
    <w:bookmarkEnd w:id="162"/>
    <w:p>
      <w:pPr>
        <w:jc w:val="both"/>
        <w:ind w:firstLine="1735"/>
        <w:spacing w:after="0" w:line="245" w:lineRule="auto"/>
        <w:tabs>
          <w:tab w:leader="none" w:pos="2595" w:val="left"/>
        </w:tabs>
        <w:numPr>
          <w:ilvl w:val="0"/>
          <w:numId w:val="81"/>
        </w:numPr>
        <w:rPr>
          <w:rFonts w:ascii="Arial" w:cs="Arial" w:eastAsia="Arial" w:hAnsi="Arial"/>
          <w:sz w:val="20"/>
          <w:szCs w:val="20"/>
          <w:b w:val="1"/>
          <w:bCs w:val="1"/>
          <w:color w:val="auto"/>
        </w:rPr>
      </w:pPr>
      <w:r>
        <w:rPr>
          <w:rFonts w:ascii="Arial" w:cs="Arial" w:eastAsia="Arial" w:hAnsi="Arial"/>
          <w:sz w:val="21"/>
          <w:szCs w:val="21"/>
          <w:b w:val="1"/>
          <w:bCs w:val="1"/>
          <w:color w:val="auto"/>
        </w:rPr>
        <w:t>Counterparts</w:t>
      </w:r>
      <w:r>
        <w:rPr>
          <w:rFonts w:ascii="Arial" w:cs="Arial" w:eastAsia="Arial" w:hAnsi="Arial"/>
          <w:sz w:val="21"/>
          <w:szCs w:val="21"/>
          <w:color w:val="auto"/>
        </w:rPr>
        <w:t>. This Amendment may be executed in counterparts with the same effect as if both</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had signed the same document. All such counterparts will be deemed an original, will be construed together and will constitute one and the same instrument. Any such counterpart, to the extent delivered by Electronic Delivery,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87" w:lineRule="exact"/>
        <w:rPr>
          <w:rFonts w:ascii="Arial" w:cs="Arial" w:eastAsia="Arial" w:hAnsi="Arial"/>
          <w:sz w:val="20"/>
          <w:szCs w:val="20"/>
          <w:b w:val="1"/>
          <w:bCs w:val="1"/>
          <w:color w:val="auto"/>
        </w:rPr>
      </w:pPr>
    </w:p>
    <w:p>
      <w:pPr>
        <w:ind w:right="20" w:firstLine="1735"/>
        <w:spacing w:after="0" w:line="323" w:lineRule="auto"/>
        <w:tabs>
          <w:tab w:leader="none" w:pos="2617" w:val="left"/>
        </w:tabs>
        <w:numPr>
          <w:ilvl w:val="0"/>
          <w:numId w:val="81"/>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Choice of Law. </w:t>
      </w:r>
      <w:r>
        <w:rPr>
          <w:rFonts w:ascii="Arial" w:cs="Arial" w:eastAsia="Arial" w:hAnsi="Arial"/>
          <w:sz w:val="19"/>
          <w:szCs w:val="19"/>
          <w:color w:val="auto"/>
        </w:rPr>
        <w:t>This Amendment and any Dispute arising from the performance or breach hereof will</w:t>
      </w:r>
      <w:r>
        <w:rPr>
          <w:rFonts w:ascii="Arial" w:cs="Arial" w:eastAsia="Arial" w:hAnsi="Arial"/>
          <w:sz w:val="19"/>
          <w:szCs w:val="19"/>
          <w:b w:val="1"/>
          <w:bCs w:val="1"/>
          <w:color w:val="auto"/>
        </w:rPr>
        <w:t xml:space="preserve"> </w:t>
      </w:r>
      <w:r>
        <w:rPr>
          <w:rFonts w:ascii="Arial" w:cs="Arial" w:eastAsia="Arial" w:hAnsi="Arial"/>
          <w:sz w:val="19"/>
          <w:szCs w:val="19"/>
          <w:color w:val="auto"/>
        </w:rPr>
        <w:t>be governed by and interpreted in accordance with the laws of the State of New York, without giving effect to any choice of law rules.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63" w:name="page164"/>
    <w:bookmarkEnd w:id="163"/>
    <w:p>
      <w:pPr>
        <w:ind w:firstLine="864"/>
        <w:spacing w:after="0" w:line="270" w:lineRule="auto"/>
        <w:rPr>
          <w:sz w:val="20"/>
          <w:szCs w:val="20"/>
          <w:color w:val="auto"/>
        </w:rPr>
      </w:pPr>
      <w:r>
        <w:rPr>
          <w:rFonts w:ascii="Arial" w:cs="Arial" w:eastAsia="Arial" w:hAnsi="Arial"/>
          <w:sz w:val="21"/>
          <w:szCs w:val="21"/>
          <w:b w:val="1"/>
          <w:bCs w:val="1"/>
          <w:color w:val="auto"/>
        </w:rPr>
        <w:t>I</w:t>
      </w:r>
      <w:r>
        <w:rPr>
          <w:rFonts w:ascii="Arial" w:cs="Arial" w:eastAsia="Arial" w:hAnsi="Arial"/>
          <w:sz w:val="14"/>
          <w:szCs w:val="14"/>
          <w:b w:val="1"/>
          <w:bCs w:val="1"/>
          <w:color w:val="auto"/>
        </w:rPr>
        <w:t>N</w:t>
      </w:r>
      <w:r>
        <w:rPr>
          <w:rFonts w:ascii="Arial" w:cs="Arial" w:eastAsia="Arial" w:hAnsi="Arial"/>
          <w:sz w:val="21"/>
          <w:szCs w:val="21"/>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1"/>
          <w:szCs w:val="21"/>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1"/>
          <w:szCs w:val="21"/>
          <w:b w:val="1"/>
          <w:bCs w:val="1"/>
          <w:color w:val="auto"/>
        </w:rPr>
        <w:t xml:space="preserve">, </w:t>
      </w:r>
      <w:r>
        <w:rPr>
          <w:rFonts w:ascii="Arial" w:cs="Arial" w:eastAsia="Arial" w:hAnsi="Arial"/>
          <w:sz w:val="21"/>
          <w:szCs w:val="21"/>
          <w:color w:val="auto"/>
        </w:rPr>
        <w:t>and intending to be legally bound hereby, the Parties have caused this Amendment to be executed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their respective duly authorized representatives as of the Amendment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20" w:type="dxa"/>
            <w:vAlign w:val="bottom"/>
            <w:gridSpan w:val="2"/>
          </w:tcPr>
          <w:p>
            <w:pPr>
              <w:spacing w:after="0"/>
              <w:rPr>
                <w:sz w:val="20"/>
                <w:szCs w:val="20"/>
                <w:color w:val="auto"/>
              </w:rPr>
            </w:pPr>
            <w:r>
              <w:rPr>
                <w:rFonts w:ascii="Arial" w:cs="Arial" w:eastAsia="Arial" w:hAnsi="Arial"/>
                <w:sz w:val="21"/>
                <w:szCs w:val="21"/>
                <w:b w:val="1"/>
                <w:bCs w:val="1"/>
                <w:color w:val="auto"/>
              </w:rPr>
              <w:t>NURIX THERAPEUTICS, INC.</w:t>
            </w:r>
          </w:p>
        </w:tc>
        <w:tc>
          <w:tcPr>
            <w:tcW w:w="6220" w:type="dxa"/>
            <w:vAlign w:val="bottom"/>
            <w:gridSpan w:val="2"/>
          </w:tcPr>
          <w:p>
            <w:pPr>
              <w:ind w:left="1200"/>
              <w:spacing w:after="0"/>
              <w:rPr>
                <w:sz w:val="20"/>
                <w:szCs w:val="20"/>
                <w:color w:val="auto"/>
              </w:rPr>
            </w:pPr>
            <w:r>
              <w:rPr>
                <w:rFonts w:ascii="Arial" w:cs="Arial" w:eastAsia="Arial" w:hAnsi="Arial"/>
                <w:sz w:val="21"/>
                <w:szCs w:val="21"/>
                <w:b w:val="1"/>
                <w:bCs w:val="1"/>
                <w:color w:val="auto"/>
              </w:rPr>
              <w:t>GENZYME CORPORATION</w:t>
            </w:r>
          </w:p>
        </w:tc>
      </w:tr>
      <w:tr>
        <w:trPr>
          <w:trHeight w:val="465"/>
        </w:trPr>
        <w:tc>
          <w:tcPr>
            <w:tcW w:w="5020" w:type="dxa"/>
            <w:vAlign w:val="bottom"/>
            <w:gridSpan w:val="2"/>
          </w:tcPr>
          <w:p>
            <w:pPr>
              <w:spacing w:after="0"/>
              <w:rPr>
                <w:sz w:val="20"/>
                <w:szCs w:val="20"/>
                <w:color w:val="auto"/>
              </w:rPr>
            </w:pPr>
            <w:r>
              <w:rPr>
                <w:rFonts w:ascii="Arial" w:cs="Arial" w:eastAsia="Arial" w:hAnsi="Arial"/>
                <w:sz w:val="21"/>
                <w:szCs w:val="21"/>
                <w:color w:val="auto"/>
              </w:rPr>
              <w:t>By:   /s/ Christine Ring</w:t>
            </w:r>
          </w:p>
        </w:tc>
        <w:tc>
          <w:tcPr>
            <w:tcW w:w="6220" w:type="dxa"/>
            <w:vAlign w:val="bottom"/>
            <w:gridSpan w:val="2"/>
          </w:tcPr>
          <w:p>
            <w:pPr>
              <w:ind w:left="1200"/>
              <w:spacing w:after="0"/>
              <w:rPr>
                <w:sz w:val="20"/>
                <w:szCs w:val="20"/>
                <w:color w:val="auto"/>
              </w:rPr>
            </w:pPr>
            <w:r>
              <w:rPr>
                <w:rFonts w:ascii="Arial" w:cs="Arial" w:eastAsia="Arial" w:hAnsi="Arial"/>
                <w:sz w:val="21"/>
                <w:szCs w:val="21"/>
                <w:color w:val="auto"/>
              </w:rPr>
              <w:t>By:   /s/ Frank Nestle</w:t>
            </w:r>
          </w:p>
        </w:tc>
      </w:tr>
      <w:tr>
        <w:trPr>
          <w:trHeight w:val="20"/>
        </w:trPr>
        <w:tc>
          <w:tcPr>
            <w:tcW w:w="5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344"/>
        </w:trPr>
        <w:tc>
          <w:tcPr>
            <w:tcW w:w="5020" w:type="dxa"/>
            <w:vAlign w:val="bottom"/>
            <w:gridSpan w:val="2"/>
          </w:tcPr>
          <w:p>
            <w:pPr>
              <w:spacing w:after="0"/>
              <w:rPr>
                <w:sz w:val="20"/>
                <w:szCs w:val="20"/>
                <w:color w:val="auto"/>
              </w:rPr>
            </w:pPr>
            <w:r>
              <w:rPr>
                <w:rFonts w:ascii="Arial" w:cs="Arial" w:eastAsia="Arial" w:hAnsi="Arial"/>
                <w:sz w:val="21"/>
                <w:szCs w:val="21"/>
                <w:color w:val="auto"/>
              </w:rPr>
              <w:t>Name:Christine Ring</w:t>
            </w:r>
          </w:p>
        </w:tc>
        <w:tc>
          <w:tcPr>
            <w:tcW w:w="6220" w:type="dxa"/>
            <w:vAlign w:val="bottom"/>
            <w:gridSpan w:val="2"/>
          </w:tcPr>
          <w:p>
            <w:pPr>
              <w:ind w:left="1200"/>
              <w:spacing w:after="0"/>
              <w:rPr>
                <w:sz w:val="20"/>
                <w:szCs w:val="20"/>
                <w:color w:val="auto"/>
              </w:rPr>
            </w:pPr>
            <w:r>
              <w:rPr>
                <w:rFonts w:ascii="Arial" w:cs="Arial" w:eastAsia="Arial" w:hAnsi="Arial"/>
                <w:sz w:val="21"/>
                <w:szCs w:val="21"/>
                <w:color w:val="auto"/>
              </w:rPr>
              <w:t>Name:Frank Nestle</w:t>
            </w:r>
          </w:p>
        </w:tc>
      </w:tr>
      <w:tr>
        <w:trPr>
          <w:trHeight w:val="20"/>
        </w:trPr>
        <w:tc>
          <w:tcPr>
            <w:tcW w:w="5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345"/>
        </w:trPr>
        <w:tc>
          <w:tcPr>
            <w:tcW w:w="5020" w:type="dxa"/>
            <w:vAlign w:val="bottom"/>
            <w:gridSpan w:val="2"/>
          </w:tcPr>
          <w:p>
            <w:pPr>
              <w:spacing w:after="0"/>
              <w:rPr>
                <w:sz w:val="20"/>
                <w:szCs w:val="20"/>
                <w:color w:val="auto"/>
              </w:rPr>
            </w:pPr>
            <w:r>
              <w:rPr>
                <w:rFonts w:ascii="Arial" w:cs="Arial" w:eastAsia="Arial" w:hAnsi="Arial"/>
                <w:sz w:val="21"/>
                <w:szCs w:val="21"/>
                <w:color w:val="auto"/>
              </w:rPr>
              <w:t>Title: General Counsel</w:t>
            </w:r>
          </w:p>
        </w:tc>
        <w:tc>
          <w:tcPr>
            <w:tcW w:w="6220" w:type="dxa"/>
            <w:vAlign w:val="bottom"/>
            <w:gridSpan w:val="2"/>
          </w:tcPr>
          <w:p>
            <w:pPr>
              <w:ind w:left="1200"/>
              <w:spacing w:after="0"/>
              <w:rPr>
                <w:sz w:val="20"/>
                <w:szCs w:val="20"/>
                <w:color w:val="auto"/>
              </w:rPr>
            </w:pPr>
            <w:r>
              <w:rPr>
                <w:rFonts w:ascii="Arial" w:cs="Arial" w:eastAsia="Arial" w:hAnsi="Arial"/>
                <w:sz w:val="21"/>
                <w:szCs w:val="21"/>
                <w:color w:val="auto"/>
              </w:rPr>
              <w:t>Title: Head of Research</w:t>
            </w:r>
          </w:p>
        </w:tc>
      </w:tr>
      <w:tr>
        <w:trPr>
          <w:trHeight w:val="20"/>
        </w:trPr>
        <w:tc>
          <w:tcPr>
            <w:tcW w:w="5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579"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November 30, 2020)</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Name</w:t>
            </w:r>
          </w:p>
        </w:tc>
        <w:tc>
          <w:tcPr>
            <w:tcW w:w="7420" w:type="dxa"/>
            <w:vAlign w:val="bottom"/>
          </w:tcPr>
          <w:p>
            <w:pPr>
              <w:ind w:left="1820"/>
              <w:spacing w:after="0"/>
              <w:rPr>
                <w:sz w:val="20"/>
                <w:szCs w:val="20"/>
                <w:color w:val="auto"/>
              </w:rPr>
            </w:pPr>
            <w:r>
              <w:rPr>
                <w:rFonts w:ascii="Arial" w:cs="Arial" w:eastAsia="Arial" w:hAnsi="Arial"/>
                <w:sz w:val="18"/>
                <w:szCs w:val="18"/>
                <w:color w:val="auto"/>
              </w:rPr>
              <w:t>State or Country of Organization</w:t>
            </w:r>
          </w:p>
        </w:tc>
      </w:tr>
      <w:tr>
        <w:trPr>
          <w:trHeight w:val="216"/>
        </w:trPr>
        <w:tc>
          <w:tcPr>
            <w:tcW w:w="3800" w:type="dxa"/>
            <w:vAlign w:val="bottom"/>
            <w:shd w:val="clear" w:color="auto" w:fill="D9E2F3"/>
          </w:tcPr>
          <w:p>
            <w:pPr>
              <w:spacing w:after="0"/>
              <w:rPr>
                <w:sz w:val="20"/>
                <w:szCs w:val="20"/>
                <w:color w:val="auto"/>
              </w:rPr>
            </w:pPr>
            <w:r>
              <w:rPr>
                <w:rFonts w:ascii="Arial" w:cs="Arial" w:eastAsia="Arial" w:hAnsi="Arial"/>
                <w:sz w:val="18"/>
                <w:szCs w:val="18"/>
                <w:color w:val="auto"/>
              </w:rPr>
              <w:t>DeCART Therapeutics Inc.</w:t>
            </w:r>
          </w:p>
        </w:tc>
        <w:tc>
          <w:tcPr>
            <w:tcW w:w="7420" w:type="dxa"/>
            <w:vAlign w:val="bottom"/>
            <w:shd w:val="clear" w:color="auto" w:fill="D9E2F3"/>
          </w:tcPr>
          <w:p>
            <w:pPr>
              <w:ind w:left="18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333-240065) of Nurix Therapeutics, Inc. of our report dated February 16, 2021 relating to the financial statements,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ectPr>
          <w:pgSz w:w="11900" w:h="16838" w:orient="portrait"/>
          <w:cols w:equalWidth="0" w:num="1">
            <w:col w:w="11240"/>
          </w:cols>
          <w:pgMar w:left="320" w:top="12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Arthur T. Sands, certify that:</w:t>
      </w:r>
    </w:p>
    <w:p>
      <w:pPr>
        <w:spacing w:after="0" w:line="117" w:lineRule="exact"/>
        <w:rPr>
          <w:sz w:val="20"/>
          <w:szCs w:val="20"/>
          <w:color w:val="auto"/>
        </w:rPr>
      </w:pPr>
    </w:p>
    <w:p>
      <w:pPr>
        <w:ind w:left="440" w:hanging="432"/>
        <w:spacing w:after="0"/>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Nurix Therapeutics, Inc.;</w:t>
      </w:r>
    </w:p>
    <w:p>
      <w:pPr>
        <w:spacing w:after="0" w:line="117"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02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w:t>
      </w:r>
      <w:r>
        <w:rPr>
          <w:rFonts w:ascii="Arial" w:cs="Arial" w:eastAsia="Arial" w:hAnsi="Arial"/>
          <w:sz w:val="11"/>
          <w:szCs w:val="11"/>
          <w:color w:val="auto"/>
        </w:rPr>
        <w:t>RTHUR</w:t>
      </w:r>
      <w:r>
        <w:rPr>
          <w:rFonts w:ascii="Arial" w:cs="Arial" w:eastAsia="Arial" w:hAnsi="Arial"/>
          <w:sz w:val="17"/>
          <w:szCs w:val="17"/>
          <w:color w:val="auto"/>
        </w:rPr>
        <w:t xml:space="preserve"> T. S</w:t>
      </w:r>
      <w:r>
        <w:rPr>
          <w:rFonts w:ascii="Arial" w:cs="Arial" w:eastAsia="Arial" w:hAnsi="Arial"/>
          <w:sz w:val="11"/>
          <w:szCs w:val="11"/>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914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Arthur T. Sands, M.D., Ph.D.</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ectPr>
          <w:pgSz w:w="11900" w:h="16838" w:orient="portrait"/>
          <w:cols w:equalWidth="0" w:num="1">
            <w:col w:w="11240"/>
          </w:cols>
          <w:pgMar w:left="320" w:top="108"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Hans van Houte, certify that:</w:t>
      </w:r>
    </w:p>
    <w:p>
      <w:pPr>
        <w:spacing w:after="0" w:line="117" w:lineRule="exact"/>
        <w:rPr>
          <w:sz w:val="20"/>
          <w:szCs w:val="20"/>
          <w:color w:val="auto"/>
        </w:rPr>
      </w:pPr>
    </w:p>
    <w:p>
      <w:pPr>
        <w:ind w:left="440" w:hanging="432"/>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Nurix Therapeutics, Inc.;</w:t>
      </w:r>
    </w:p>
    <w:p>
      <w:pPr>
        <w:spacing w:after="0" w:line="117"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02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w:t>
      </w:r>
      <w:r>
        <w:rPr>
          <w:rFonts w:ascii="Arial" w:cs="Arial" w:eastAsia="Arial" w:hAnsi="Arial"/>
          <w:sz w:val="11"/>
          <w:szCs w:val="11"/>
          <w:color w:val="auto"/>
        </w:rPr>
        <w:t>ANS VAN</w:t>
      </w:r>
      <w:r>
        <w:rPr>
          <w:rFonts w:ascii="Arial" w:cs="Arial" w:eastAsia="Arial" w:hAnsi="Arial"/>
          <w:sz w:val="17"/>
          <w:szCs w:val="17"/>
          <w:color w:val="auto"/>
        </w:rPr>
        <w:t xml:space="preserve"> H</w:t>
      </w:r>
      <w:r>
        <w:rPr>
          <w:rFonts w:ascii="Arial" w:cs="Arial" w:eastAsia="Arial" w:hAnsi="Arial"/>
          <w:sz w:val="11"/>
          <w:szCs w:val="11"/>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914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Hans van Houte</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ectPr>
          <w:pgSz w:w="11900" w:h="16838" w:orient="portrait"/>
          <w:cols w:equalWidth="0" w:num="1">
            <w:col w:w="11240"/>
          </w:cols>
          <w:pgMar w:left="320" w:top="108"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Each of the undersigned officers of Nurix Therapeutics, Inc. (the Company) certifies, pursuant to 18 U.S.C. § 1350, as adopted pursuant to §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w:t>
      </w:r>
    </w:p>
    <w:p>
      <w:pPr>
        <w:spacing w:after="0" w:line="211" w:lineRule="exact"/>
        <w:rPr>
          <w:sz w:val="20"/>
          <w:szCs w:val="20"/>
          <w:color w:val="auto"/>
        </w:rPr>
      </w:pPr>
    </w:p>
    <w:p>
      <w:pPr>
        <w:ind w:left="440" w:hanging="432"/>
        <w:spacing w:after="0" w:line="308" w:lineRule="auto"/>
        <w:tabs>
          <w:tab w:leader="none" w:pos="4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November 30, 2020 (the Annual Report), as filed with the Securities and Exchange Commission,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left="440" w:hanging="432"/>
        <w:spacing w:after="0" w:line="277"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the Company.</w:t>
      </w:r>
    </w:p>
    <w:p>
      <w:pPr>
        <w:spacing w:after="0" w:line="19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RTHUR</w:t>
            </w:r>
            <w:r>
              <w:rPr>
                <w:rFonts w:ascii="Arial" w:cs="Arial" w:eastAsia="Arial" w:hAnsi="Arial"/>
                <w:sz w:val="18"/>
                <w:szCs w:val="18"/>
                <w:color w:val="auto"/>
              </w:rPr>
              <w:t xml:space="preserve"> T. S</w:t>
            </w:r>
            <w:r>
              <w:rPr>
                <w:rFonts w:ascii="Arial" w:cs="Arial" w:eastAsia="Arial" w:hAnsi="Arial"/>
                <w:sz w:val="12"/>
                <w:szCs w:val="12"/>
                <w:color w:val="auto"/>
              </w:rPr>
              <w:t>ANDS</w:t>
            </w:r>
          </w:p>
        </w:tc>
      </w:tr>
      <w:tr>
        <w:trPr>
          <w:trHeight w:val="195"/>
        </w:trPr>
        <w:tc>
          <w:tcPr>
            <w:tcW w:w="6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Arthur T. Sands, M.D., Ph.D.</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ANS VAN</w:t>
            </w:r>
            <w:r>
              <w:rPr>
                <w:rFonts w:ascii="Arial" w:cs="Arial" w:eastAsia="Arial" w:hAnsi="Arial"/>
                <w:sz w:val="18"/>
                <w:szCs w:val="18"/>
                <w:color w:val="auto"/>
              </w:rPr>
              <w:t xml:space="preserve"> H</w:t>
            </w:r>
            <w:r>
              <w:rPr>
                <w:rFonts w:ascii="Arial" w:cs="Arial" w:eastAsia="Arial" w:hAnsi="Arial"/>
                <w:sz w:val="12"/>
                <w:szCs w:val="12"/>
                <w:color w:val="auto"/>
              </w:rPr>
              <w:t>OUTE</w:t>
            </w:r>
          </w:p>
        </w:tc>
      </w:tr>
      <w:tr>
        <w:trPr>
          <w:trHeight w:val="195"/>
        </w:trPr>
        <w:tc>
          <w:tcPr>
            <w:tcW w:w="6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Hans van Houte</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1)"/>
      <w:numFmt w:val="lowerRoman"/>
      <w:start w:val="2"/>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1)"/>
      <w:numFmt w:val="lowerRoman"/>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lowerRoman"/>
      <w:start w:val="2"/>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lowerRoman"/>
      <w:start w:val="1"/>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decimal"/>
      <w:start w:val="2"/>
    </w:lvl>
  </w:abstractNum>
  <w:abstractNum w:abstractNumId="66">
    <w:nsid w:val="51D9C564"/>
    <w:multiLevelType w:val="hybridMultilevel"/>
    <w:lvl w:ilvl="0">
      <w:lvlJc w:val="left"/>
      <w:lvlText w:val="(%1)"/>
      <w:numFmt w:val="decimal"/>
      <w:start w:val="3"/>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1."/>
      <w:numFmt w:val="decimal"/>
      <w:start w:val="1"/>
    </w:lvl>
    <w:lvl w:ilvl="1">
      <w:lvlJc w:val="left"/>
      <w:lvlText w:val="%2."/>
      <w:numFmt w:val="lowerLetter"/>
      <w:start w:val="1"/>
    </w:lvl>
  </w:abstractNum>
  <w:abstractNum w:abstractNumId="74">
    <w:nsid w:val="3B0FD379"/>
    <w:multiLevelType w:val="hybridMultilevel"/>
    <w:lvl w:ilvl="0">
      <w:lvlJc w:val="left"/>
      <w:lvlText w:val="%1."/>
      <w:numFmt w:val="decimal"/>
      <w:start w:val="5"/>
    </w:lvl>
  </w:abstractNum>
  <w:abstractNum w:abstractNumId="75">
    <w:nsid w:val="68EB2F63"/>
    <w:multiLevelType w:val="hybridMultilevel"/>
    <w:lvl w:ilvl="0">
      <w:lvlJc w:val="left"/>
      <w:lvlText w:val="%1."/>
      <w:numFmt w:val="decimal"/>
      <w:start w:val="1"/>
    </w:lvl>
    <w:lvl w:ilvl="1">
      <w:lvlJc w:val="left"/>
      <w:lvlText w:val="(%2)"/>
      <w:numFmt w:val="lowerLetter"/>
      <w:start w:val="1"/>
    </w:lvl>
  </w:abstractNum>
  <w:abstractNum w:abstractNumId="76">
    <w:nsid w:val="4962813B"/>
    <w:multiLevelType w:val="hybridMultilevel"/>
    <w:lvl w:ilvl="0">
      <w:lvlJc w:val="left"/>
      <w:lvlText w:val="(%1)"/>
      <w:numFmt w:val="lowerLetter"/>
      <w:start w:val="2"/>
    </w:lvl>
  </w:abstractNum>
  <w:abstractNum w:abstractNumId="77">
    <w:nsid w:val="60B6DF70"/>
    <w:multiLevelType w:val="hybridMultilevel"/>
    <w:lvl w:ilvl="0">
      <w:lvlJc w:val="left"/>
      <w:lvlText w:val="(%1)"/>
      <w:numFmt w:val="lowerLetter"/>
      <w:start w:val="3"/>
    </w:lvl>
  </w:abstractNum>
  <w:abstractNum w:abstractNumId="78">
    <w:nsid w:val="6A5EE64"/>
    <w:multiLevelType w:val="hybridMultilevel"/>
    <w:lvl w:ilvl="0">
      <w:lvlJc w:val="left"/>
      <w:lvlText w:val="(%1)"/>
      <w:numFmt w:val="lowerLetter"/>
      <w:start w:val="4"/>
    </w:lvl>
  </w:abstractNum>
  <w:abstractNum w:abstractNumId="79">
    <w:nsid w:val="14330624"/>
    <w:multiLevelType w:val="hybridMultilevel"/>
    <w:lvl w:ilvl="0">
      <w:lvlJc w:val="left"/>
      <w:lvlText w:val="%1."/>
      <w:numFmt w:val="decimal"/>
      <w:start w:val="3"/>
    </w:lvl>
    <w:lvl w:ilvl="1">
      <w:lvlJc w:val="left"/>
      <w:lvlText w:val="(%2)"/>
      <w:numFmt w:val="lowerLetter"/>
      <w:start w:val="1"/>
    </w:lvl>
  </w:abstractNum>
  <w:abstractNum w:abstractNumId="80">
    <w:nsid w:val="7FFFCA11"/>
    <w:multiLevelType w:val="hybridMultilevel"/>
    <w:lvl w:ilvl="0">
      <w:lvlJc w:val="left"/>
      <w:lvlText w:val="(%1)"/>
      <w:numFmt w:val="lowerLetter"/>
      <w:start w:val="3"/>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195" Type="http://schemas.openxmlformats.org/officeDocument/2006/relationships/hyperlink" Target="http://www.sec.gov/Archives/edgar/data/1549595/000156459020046400/nrix-ex31_464.htm" TargetMode="External"/><Relationship Id="rId196" Type="http://schemas.openxmlformats.org/officeDocument/2006/relationships/hyperlink" Target="http://www.sec.gov/Archives/edgar/data/1549595/000156459020046400/nrix-ex32_465.htm" TargetMode="External"/><Relationship Id="rId197" Type="http://schemas.openxmlformats.org/officeDocument/2006/relationships/hyperlink" Target="http://www.sec.gov/Archives/edgar/data/1549595/000119312520186809/d903927dex41.htm" TargetMode="External"/><Relationship Id="rId198" Type="http://schemas.openxmlformats.org/officeDocument/2006/relationships/hyperlink" Target="http://www.sec.gov/Archives/edgar/data/1549595/000119312520186809/d903927dex42.htm" TargetMode="External"/><Relationship Id="rId199" Type="http://schemas.openxmlformats.org/officeDocument/2006/relationships/hyperlink" Target="http://www.sec.gov/Archives/edgar/data/1549595/000119312520186809/d903927dex101.htm" TargetMode="External"/><Relationship Id="rId200" Type="http://schemas.openxmlformats.org/officeDocument/2006/relationships/hyperlink" Target="http://www.sec.gov/Archives/edgar/data/1549595/000119312520186809/d903927dex102.htm" TargetMode="External"/><Relationship Id="rId201" Type="http://schemas.openxmlformats.org/officeDocument/2006/relationships/hyperlink" Target="http://www.sec.gov/Archives/edgar/data/1549595/000119312520195056/d903927dex103.htm" TargetMode="External"/><Relationship Id="rId202" Type="http://schemas.openxmlformats.org/officeDocument/2006/relationships/hyperlink" Target="http://www.sec.gov/Archives/edgar/data/1549595/000119312520195056/d903927dex104.htm" TargetMode="External"/><Relationship Id="rId203" Type="http://schemas.openxmlformats.org/officeDocument/2006/relationships/hyperlink" Target="http://www.sec.gov/Archives/edgar/data/1549595/000119312520195056/d903927dex105.htm" TargetMode="External"/><Relationship Id="rId204" Type="http://schemas.openxmlformats.org/officeDocument/2006/relationships/hyperlink" Target="http://www.sec.gov/Archives/edgar/data/1549595/000119312520195056/d903927dex107.htm" TargetMode="External"/><Relationship Id="rId205" Type="http://schemas.openxmlformats.org/officeDocument/2006/relationships/hyperlink" Target="http://www.sec.gov/Archives/edgar/data/1549595/000119312520186809/d903927dex108.htm" TargetMode="External"/><Relationship Id="rId206" Type="http://schemas.openxmlformats.org/officeDocument/2006/relationships/hyperlink" Target="http://www.sec.gov/Archives/edgar/data/1549595/000119312520186809/d903927dex109.htm" TargetMode="External"/><Relationship Id="rId207" Type="http://schemas.openxmlformats.org/officeDocument/2006/relationships/hyperlink" Target="http://www.sec.gov/Archives/edgar/data/1549595/000119312520186809/d903927dex1010.htm" TargetMode="External"/><Relationship Id="rId208" Type="http://schemas.openxmlformats.org/officeDocument/2006/relationships/hyperlink" Target="http://www.sec.gov/Archives/edgar/data/1549595/000119312520186809/d903927dex1011.htm" TargetMode="External"/><Relationship Id="rId211" Type="http://schemas.openxmlformats.org/officeDocument/2006/relationships/hyperlink" Target="http://www.sec.gov/Archives/edgar/data/1549595/000119312520195056/d903927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2021-02-16T16:16:03Z</dcterms:created>
  <dcterms:modified xsi:type="dcterms:W3CDTF">2021-02-16T16:16:03Z</dcterms:modified>
</cp:coreProperties>
</file>